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58/2025/TT-NHNN</w:t>
      </w:r>
    </w:p>
    <w:p>
      <w:pPr>
        <w:jc w:val="both"/>
      </w:pPr>
      <w:r>
        <w:t>Hà Nội, ngày 26 tháng 12 năm 2025</w:t>
      </w:r>
    </w:p>
    <w:p>
      <w:pPr>
        <w:jc w:val="center"/>
      </w:pPr>
      <w:r>
        <w:rPr>
          <w:b/>
        </w:rPr>
        <w:t>THÔNG TƯ</w:t>
      </w:r>
    </w:p>
    <w:p>
      <w:pPr>
        <w:jc w:val="both"/>
      </w:pPr>
      <w:r>
        <w:t>Sửa đổi, bổ sung một số điều của Thông tư số 34/2025/TT-NHNN</w:t>
      </w:r>
    </w:p>
    <w:p>
      <w:pPr>
        <w:jc w:val="both"/>
      </w:pPr>
      <w:r>
        <w:t>hướng dẫn một số điều của Nghị định số 24/2012/NĐ-CP ngày 03 tháng 4</w:t>
      </w:r>
    </w:p>
    <w:p>
      <w:pPr>
        <w:jc w:val="both"/>
      </w:pPr>
      <w:r>
        <w:t>năm 2012 của Chính phủ về quản lý hoạt động kinh doanh vàng</w:t>
      </w:r>
    </w:p>
    <w:p>
      <w:pPr>
        <w:jc w:val="both"/>
      </w:pPr>
      <w:r>
        <w:t>được sửa đổi, bổ sung bởi Nghị định số 232/2025/NĐ-CP</w:t>
      </w:r>
    </w:p>
    <w:p>
      <w:pPr>
        <w:jc w:val="both"/>
      </w:pPr>
      <w:r>
        <w:t>Căn cứ Luật Ngân hàng Nhà nước Việt Nam số 46/2010/QH12 ;</w:t>
      </w:r>
    </w:p>
    <w:p>
      <w:pPr>
        <w:jc w:val="both"/>
      </w:pPr>
      <w:r>
        <w:t>Căn cứ Luật Các tổ chức tín dụng số 32/2024/QH15;</w:t>
      </w:r>
    </w:p>
    <w:p>
      <w:pPr>
        <w:jc w:val="both"/>
      </w:pPr>
      <w:r>
        <w:t>Căn cứ Nghị định số 24/2012/NĐ-CP của Chính phủ về quản lý hoạt động kinh doanh vàng được sửa đổi, bổ sung bởi Nghị định số 232/2025/NĐ-CP;</w:t>
      </w:r>
    </w:p>
    <w:p>
      <w:pPr>
        <w:jc w:val="both"/>
      </w:pPr>
      <w:r>
        <w:t>Căn cứ Nghị định số 26 /2025/NĐ-CP của Chính phủ quy định chức năng, nhiệm vụ, quyền hạn và cơ cấu tổ chức của Ngân hàng Nhà nước Việt Nam;</w:t>
      </w:r>
    </w:p>
    <w:p>
      <w:pPr>
        <w:jc w:val="both"/>
      </w:pPr>
      <w:r>
        <w:t>Theo đề nghị của Cục trưởng Cục Quản lý ngoại hối ;</w:t>
      </w:r>
    </w:p>
    <w:p>
      <w:pPr>
        <w:jc w:val="both"/>
      </w:pPr>
      <w:r>
        <w:t>Thống đốc Ngân hàng Nhà nước Việt Nam ban hành Thông tư sửa đổi, bổ sung một số điều của Thông tư số 34/2025/TT-NHNN hướng dẫn một số điều của Nghị định số 24/2012/NĐ-CP ngày 03 tháng 4 năm 2012 của Chính phủ về quản lý hoạt động kinh doanh vàng được sửa đổi, bổ sung bởi Nghị định số 232/2025/NĐ-CP .</w:t>
      </w:r>
    </w:p>
    <w:p>
      <w:pPr>
        <w:jc w:val="both"/>
      </w:pPr>
      <w:r>
        <w:rPr>
          <w:b/>
        </w:rPr>
        <w:t>Điều 1. Sửa đổi, bổ sung khoản 6 Điều 33</w:t>
      </w:r>
    </w:p>
    <w:p>
      <w:pPr>
        <w:jc w:val="both"/>
      </w:pPr>
      <w:r>
        <w:t>“6. Căn cứ vào tình hình cấp Giấy phép sản xuất vàng miếng cho doanh nghiệp, ngân hàng thương mại, việc xây dựng tổng hạn mức, cấp hạn mức xuất khẩu vàng miếng, nhập khẩu vàng miếng, nhập khẩu vàng nguyên liệu trong năm 2025, 2026 cho các doanh nghiệp, ngân hàng thương mại quy định tại Điều 11a Nghị định số 24/2012/NĐ-CP thực hiện theo quy định tại Điều 19, Điều 20 Thông tư này, trừ quy định về thời hạn tại khoản 3 Điều 19 và Điều 20 Thông tư này.”</w:t>
      </w:r>
    </w:p>
    <w:p>
      <w:pPr>
        <w:jc w:val="both"/>
      </w:pPr>
      <w:r>
        <w:rPr>
          <w:b/>
        </w:rPr>
        <w:t>Điều 2. Điều khoản thi hành</w:t>
      </w:r>
    </w:p>
    <w:p>
      <w:pPr>
        <w:jc w:val="both"/>
      </w:pPr>
      <w:r>
        <w:t>1. Thông tư này có hiệu lực kể từ ngày 26/12/2025.</w:t>
      </w:r>
    </w:p>
    <w:p>
      <w:pPr>
        <w:jc w:val="both"/>
      </w:pPr>
      <w:r>
        <w:t>2. Thủ trưởng các đơn vị thuộc Ngân hàng Nhà nước Việt Nam, các doanh nghiệp, tổ chức tín dụng có hoạt động kinh doanh vàng chịu trách nhiệm tổ chức thực hiện Thông tư này./.</w:t>
      </w:r>
    </w:p>
    <w:p>
      <w:pPr>
        <w:jc w:val="both"/>
      </w:pPr>
      <w:r>
        <w:t>KT. THỐNG ĐỐC</w:t>
      </w:r>
    </w:p>
    <w:p>
      <w:pPr>
        <w:jc w:val="both"/>
      </w:pPr>
      <w:r>
        <w:t>PHÓ THỐNG ĐỐC</w:t>
      </w:r>
    </w:p>
    <w:p>
      <w:pPr>
        <w:jc w:val="both"/>
      </w:pPr>
      <w:r>
        <w:t>(Đã ký)</w:t>
      </w:r>
    </w:p>
    <w:p>
      <w:pPr>
        <w:jc w:val="both"/>
      </w:pPr>
      <w:r>
        <w:t>Phạm Quang Dũng</w:t>
      </w:r>
    </w:p>
    <w:p>
      <w:r>
        <w:rPr>
          <w:i/>
        </w:rPr>
        <w:t>Nguồn: Cơ sở dữ liệu quốc gia về văn bản pháp luật (Bộ Tư pháp). VietSmart Legal, legal.giangpham.asia/van-ban/185472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