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05/2005/QĐ-BKHCN</w:t>
      </w:r>
    </w:p>
    <w:p>
      <w:pPr>
        <w:jc w:val="both"/>
      </w:pPr>
      <w:r>
        <w:t>Nội, Ngày 11 tháng 5 năm 2005</w:t>
      </w:r>
    </w:p>
    <w:p>
      <w:pPr>
        <w:jc w:val="center"/>
      </w:pPr>
      <w:r>
        <w:rPr>
          <w:b/>
        </w:rPr>
        <w:t>QUYẾT ĐỊNH CỦA BỘ TRƯỞNG BỘ KHOA HỌC VÀ CÔNG NGHỆ</w:t>
      </w:r>
    </w:p>
    <w:p>
      <w:pPr>
        <w:jc w:val="both"/>
      </w:pPr>
      <w:r>
        <w:t>Về việc sửa đổi, bổ sung Quyết định số 28/2004/QĐ-BKHCN ngày 01/10/2004</w:t>
      </w:r>
    </w:p>
    <w:p>
      <w:pPr>
        <w:jc w:val="both"/>
      </w:pPr>
      <w:r>
        <w:t>về phương pháp xác định tỷ lệ nội địa hóa đối với ô tô</w:t>
      </w:r>
    </w:p>
    <w:p>
      <w:pPr>
        <w:jc w:val="both"/>
      </w:pPr>
      <w:r>
        <w:t>BỘ TRƯỞNG BỘ KHOA HỌC VÀ CÔNG NGHỆ</w:t>
      </w:r>
    </w:p>
    <w:p>
      <w:pPr>
        <w:jc w:val="both"/>
      </w:pPr>
      <w:r>
        <w:t>Căn cứ Pháp lệnh Chất lượng hàng hóa năm 1999;</w:t>
      </w:r>
    </w:p>
    <w:p>
      <w:pPr>
        <w:jc w:val="both"/>
      </w:pPr>
      <w:r>
        <w:t>Căn cứ Nghị định số 54/2003/NĐ-CP ngày 19/5/2003 của Chính phủ quy định chức năng, nhiệm vụ, quyền hạn và cơ cấu tổ chức của Bộ Khoa học và Công nghệ và Nghị định số 28/2004/NĐ-CP ngày 16/01/2004 của Chính phủ sửa đổi, bổ sung một số điều Nghị định số 54/2003/NĐ-CP ngày 19/5/2003</w:t>
      </w:r>
    </w:p>
    <w:p>
      <w:pPr>
        <w:jc w:val="both"/>
      </w:pPr>
      <w:r>
        <w:t>Căn cứ Quyết định số 175/2002/QĐ-TTg ngày 03/12/2002 của Thủ tướng Chính phủ phê duyệt chiến lược phát triển ngành công nghiệp ô tô Việt Nam đến năm 2010, tầm nhìn đến năm 2020;</w:t>
      </w:r>
    </w:p>
    <w:p>
      <w:pPr>
        <w:jc w:val="both"/>
      </w:pPr>
      <w:r>
        <w:t>Căn cứ chỉ đạo của Thủ tướng Chính phủ tại Thông báo số 82/TB-VPCP ngày 16/6/2003, Công văn số 4659/VPCP-KG ngày 24/9/2003, Thông báo số 63/TB-VPCP ngày 02/4/2004 và Công văn số 2943/VPCP-KG ngày 11/6/2004 của Văn phòng Chính phủ;</w:t>
      </w:r>
    </w:p>
    <w:p>
      <w:pPr>
        <w:jc w:val="both"/>
      </w:pPr>
      <w:r>
        <w:t>Căn cứ Quyết định số 177/2004/QĐ-TTg ngày 05/10/2004 của Thủ tướng Chính phủ về việc phê duyệt Quy hoạch phát triển ngành công nghiệp ô tô Việt Nam đến năm 2010, tầm nhìn đến 2020;</w:t>
      </w:r>
    </w:p>
    <w:p>
      <w:pPr>
        <w:jc w:val="both"/>
      </w:pPr>
      <w:r>
        <w:t>Theo đề nghị của Tổng cục trưởng Tổng cục Tiêu chuẩn Đo lường chất lượng và Vụ trưởng Vụ Pháp chế,</w:t>
      </w:r>
    </w:p>
    <w:p>
      <w:pPr>
        <w:jc w:val="center"/>
      </w:pPr>
      <w:r>
        <w:rPr>
          <w:b/>
        </w:rPr>
        <w:t>QUYẾT ĐỊNH:</w:t>
      </w:r>
    </w:p>
    <w:p>
      <w:pPr>
        <w:jc w:val="both"/>
      </w:pPr>
      <w:r>
        <w:rPr>
          <w:b/>
        </w:rPr>
        <w:t>Điều 1. Sửa đổi, bổ sung Khoản 4 Điều 5 Quyết định số 28/2004/QĐ-BKHCN ngày 01/10/2004 của Bộ trưởng Bộ Khoa học và Công nghệ về phương pháp xác định tỷ lệ nội địa hóa đối với ô tô như sau:</w:t>
      </w:r>
    </w:p>
    <w:p>
      <w:pPr>
        <w:jc w:val="both"/>
      </w:pPr>
      <w:r>
        <w:t>"4. Các linh kiện ô tô do doanh nghiệp trực tiếp nhập khẩu hoặc mua của các doanh nghiệp thương mại nhập khẩu thì không được tính là nội địa hóa.</w:t>
      </w:r>
    </w:p>
    <w:p>
      <w:pPr>
        <w:jc w:val="both"/>
      </w:pPr>
      <w:r>
        <w:t>Mức độ rời rạc của các linh kiện nhập khẩu được quy định như sau:</w:t>
      </w:r>
    </w:p>
    <w:p>
      <w:pPr>
        <w:jc w:val="both"/>
      </w:pPr>
      <w:r>
        <w:t>- Thân ôtô: Rời thành từng mảng, chưa hàn, tán, chưa sơn tĩnh điện. Trường hợp đặc biệt phải được sự chấp thuận của Bộ Khoa học và Công nghệ.</w:t>
      </w:r>
    </w:p>
    <w:p>
      <w:pPr>
        <w:jc w:val="both"/>
      </w:pPr>
      <w:r>
        <w:t>- Khung ôtô: Đã liên kết với nhau và chưa sơn tĩnh điện. Đối với khung xe có chiều dài từ 3,7m trở lên, được phép sơn tĩnh điện trước khi nhập khẩu.</w:t>
      </w:r>
    </w:p>
    <w:p>
      <w:pPr>
        <w:jc w:val="both"/>
      </w:pPr>
      <w:r>
        <w:t>- Động cơ: Hoàn chỉnh và có thể lắp liền với bộ ly hợp và hộp số.</w:t>
      </w:r>
    </w:p>
    <w:p>
      <w:pPr>
        <w:jc w:val="both"/>
      </w:pPr>
      <w:r>
        <w:t>- Hệ thống truyền động: Đã hoặc chưa lắp cùng với hệ thống phanh.</w:t>
      </w:r>
    </w:p>
    <w:p>
      <w:pPr>
        <w:jc w:val="both"/>
      </w:pPr>
      <w:r>
        <w:t>- Hệ thống điện, đèn và tiện nghi: Hệ thống dây điện, bảng điện, đèn và tiện nghi trong ôtô để rời.</w:t>
      </w:r>
    </w:p>
    <w:p>
      <w:pPr>
        <w:jc w:val="both"/>
      </w:pPr>
      <w:r>
        <w:t>Các Phụ lục 5, 6, 7, 8 ban hành kèm theo Quyết định này minh họa về mặt kết cấu mức độ rời rạc của các linh kiện đối với ôtô các loại."</w:t>
      </w:r>
    </w:p>
    <w:p>
      <w:pPr>
        <w:jc w:val="both"/>
      </w:pPr>
      <w:r>
        <w:rPr>
          <w:b/>
        </w:rPr>
        <w:t>Điều 2. Quyết định này có hiệu lực thi hành sau 15 ngày, kể từ ngày đăng Công báo.</w:t>
      </w:r>
    </w:p>
    <w:p>
      <w:pPr>
        <w:jc w:val="both"/>
      </w:pPr>
      <w:r>
        <w:rPr>
          <w:b/>
        </w:rPr>
        <w:t>Điều 3. Tổng cục trưởng Tổng cục Tiêu chuẩn Đo lường chất lượng, Vụ trưởng Vụ đánh giá, Thẩm định và Giám định công nghệ, Vụ trưởng Vụ Khoa học và Công nghệ các ngành kinh tế - kỹ thuật, Vụ trưởng Vụ Pháp chế, Chánh Văn phòng và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legal.giangpham.asia/van-ban/18252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