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w:t>
      </w:r>
    </w:p>
    <w:p>
      <w:pPr>
        <w:jc w:val="both"/>
      </w:pPr>
      <w:r>
        <w:t>TRIỂN NÔNG THÔN</w:t>
      </w:r>
    </w:p>
    <w:p>
      <w:pPr>
        <w:jc w:val="both"/>
      </w:pPr>
      <w:r>
        <w:t>CỘNG HÒA XÃ HỘI CHỦ NGHĨA VIỆT NAM</w:t>
      </w:r>
    </w:p>
    <w:p>
      <w:pPr>
        <w:jc w:val="both"/>
      </w:pPr>
      <w:r>
        <w:t>Độc lập – Tự do – Hạnh phúc</w:t>
      </w:r>
    </w:p>
    <w:p>
      <w:pPr>
        <w:jc w:val="both"/>
      </w:pPr>
      <w:r>
        <w:t>Số: 40/2005/QĐ-BNN</w:t>
      </w:r>
    </w:p>
    <w:p>
      <w:pPr>
        <w:jc w:val="both"/>
      </w:pPr>
      <w:r>
        <w:t>Hà Nội, ngày 7 tháng 7 năm 2005</w:t>
      </w:r>
    </w:p>
    <w:p>
      <w:pPr>
        <w:jc w:val="center"/>
      </w:pPr>
      <w:r>
        <w:rPr>
          <w:b/>
        </w:rPr>
        <w:t>QUYẾT ĐỊNH</w:t>
      </w:r>
    </w:p>
    <w:p>
      <w:pPr>
        <w:jc w:val="both"/>
      </w:pPr>
      <w:r>
        <w:t>Về việc ban hành Quy chế về khai thác gỗ và lâm sản khác</w:t>
      </w:r>
    </w:p>
    <w:p>
      <w:pPr>
        <w:jc w:val="both"/>
      </w:pPr>
      <w:r>
        <w:t>___________________</w:t>
      </w:r>
    </w:p>
    <w:p>
      <w:pPr>
        <w:jc w:val="both"/>
      </w:pPr>
      <w:r>
        <w:t>BỘ TRƯỞNG BỘ NÔNG NGHIỆP VÀ PHÁT TRIỂN NÔNG THÔN</w:t>
      </w:r>
    </w:p>
    <w:p>
      <w:pPr>
        <w:jc w:val="both"/>
      </w:pPr>
      <w:r>
        <w:t>Căn cứ Luật bảo vệ và phát triển rừng năm 2004;</w:t>
      </w:r>
    </w:p>
    <w:p>
      <w:pPr>
        <w:jc w:val="both"/>
      </w:pPr>
      <w:r>
        <w:t>Căn cứ Nghị định số 86/2003/NĐ-CP ngày 18/7/2003 của Chính phủ quy định chức năng, nhiệm vụ, quyền hạn và cơ cấu tổ chức của Bộ Nông nghiệp và Phát triển nông thôn;</w:t>
      </w:r>
    </w:p>
    <w:p>
      <w:pPr>
        <w:jc w:val="both"/>
      </w:pPr>
      <w:r>
        <w:t>Căn cứ Quyết định số 245/1998/QĐ-TTg ngày 21/12/1998 của Thủ tướng Chính phủ về việc thực hiện trách nhiệm quản lý nhà nước của các cấp về rừng và đất lâm nghiệp;</w:t>
      </w:r>
    </w:p>
    <w:p>
      <w:pPr>
        <w:jc w:val="both"/>
      </w:pPr>
      <w:r>
        <w:t>Căn cứ Quyết định số 08/2001/QĐ-TTg ngày 11/01/2001 của Thủ tướng Chính phủ về việc ban hành quy chế quản lý rừng đặc dụng, rừng phòng hộ, rừng sản xuất là rừng tự nhiên;</w:t>
      </w:r>
    </w:p>
    <w:p>
      <w:pPr>
        <w:jc w:val="both"/>
      </w:pPr>
      <w:r>
        <w:t>Theo đề nghị của ông Cục trưởng Cục Lâm nghiệp,</w:t>
      </w:r>
    </w:p>
    <w:p>
      <w:pPr>
        <w:jc w:val="center"/>
      </w:pPr>
      <w:r>
        <w:rPr>
          <w:b/>
        </w:rPr>
        <w:t>QUYẾT ĐỊNH :</w:t>
      </w:r>
    </w:p>
    <w:p>
      <w:pPr>
        <w:jc w:val="both"/>
      </w:pPr>
      <w:r>
        <w:rPr>
          <w:b/>
        </w:rPr>
        <w:t>Điều 1. Ban hành kèm theo quyết định này "Quy chế về khai thác gỗ và lâm sản khác".</w:t>
      </w:r>
    </w:p>
    <w:p>
      <w:pPr>
        <w:jc w:val="both"/>
      </w:pPr>
      <w:r>
        <w:rPr>
          <w:b/>
        </w:rPr>
        <w:t>Điều 2. Quyết định này có hiệu lực thi hành sau 15 ngày kể từ ngày đăng Công báo Chính phủ và thay thế Quyết định số 04/2004/QĐ-BNN -LN ngày 02 tháng 02 năm 2004 của Bộ Nông nghiệp và Phát triển nông thôn về Quy chế khai thác gỗ và lâm sản khác.</w:t>
      </w:r>
    </w:p>
    <w:p>
      <w:pPr>
        <w:jc w:val="both"/>
      </w:pPr>
      <w:r>
        <w:rPr>
          <w:b/>
        </w:rPr>
        <w:t>Điều 3. Các ông Chánh Văn phòng, Thủ trưởng các đơn vị có liên quan, Giám đốc Sở Nông nghiệp và Phát triển nông thôn, Chi cục trưởng Chi cục Kiểm lâm, Giám đốc Tổng công ty, Công ty, Doanh nghiệp và các chủ rừng có hoạt động khai thác gỗ và lâm sản khác chịu trách nhiệm thi hành quyết định này.</w:t>
      </w:r>
    </w:p>
    <w:p>
      <w:pPr>
        <w:jc w:val="both"/>
      </w:pPr>
      <w:r>
        <w:t>KT. BỘ TRƯỞNG</w:t>
      </w:r>
    </w:p>
    <w:p>
      <w:pPr>
        <w:jc w:val="both"/>
      </w:pPr>
      <w:r>
        <w:t>THỨ TRƯỞNG</w:t>
      </w:r>
    </w:p>
    <w:p>
      <w:pPr>
        <w:jc w:val="both"/>
      </w:pPr>
      <w:r>
        <w:t>(Đã ký)</w:t>
      </w:r>
    </w:p>
    <w:p>
      <w:pPr>
        <w:jc w:val="both"/>
      </w:pPr>
      <w:r>
        <w:t>Hứa Đức Nhị</w:t>
      </w:r>
    </w:p>
    <w:p>
      <w:r>
        <w:rPr>
          <w:i/>
        </w:rPr>
        <w:t>Nguồn: Cơ sở dữ liệu quốc gia về văn bản pháp luật (Bộ Tư pháp). VietSmart Legal, legal.giangpham.asia/van-ban/18015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