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108/2025/NĐ-CP</w:t>
      </w:r>
    </w:p>
    <w:p>
      <w:pPr>
        <w:jc w:val="both"/>
      </w:pPr>
      <w:r>
        <w:t>Hà Nội, ngày 19 tháng 5 năm 2025</w:t>
      </w:r>
    </w:p>
    <w:p>
      <w:pPr>
        <w:jc w:val="center"/>
      </w:pPr>
      <w:r>
        <w:rPr>
          <w:b/>
        </w:rPr>
        <w:t>NGHỊ ĐỊNH</w:t>
      </w:r>
    </w:p>
    <w:p>
      <w:pPr>
        <w:jc w:val="both"/>
      </w:pPr>
      <w:r>
        <w:t>SỬA ĐỔI, BỔ SUNG NGHỊ ĐỊNH SỐ 26/2023/NĐ-CP NGÀY 31 THÁNG 5 NĂM 2023 CỦA CHÍNH PHỦ VỀ BIỂU THUẾ XUẤT KHẨU, BIỂU THUẾ NHẬP KHẨU ƯU ĐÃI, DANH MỤC HÀNG HÓA VÀ MỨC THUẾ TUYỆT ĐỐI, THUẾ HỖN HỢP, THUẾ NHẬP KHẨU NGOÀI HẠN NGẠCH THUẾ QUAN</w:t>
      </w:r>
    </w:p>
    <w:p>
      <w:pPr>
        <w:jc w:val="both"/>
      </w:pPr>
      <w:r>
        <w:t>Căn cứ Luật Tổ chức Chính phủ ngày 18 tháng 02 năm 2025;</w:t>
      </w:r>
    </w:p>
    <w:p>
      <w:pPr>
        <w:jc w:val="both"/>
      </w:pPr>
      <w:r>
        <w:t>Căn cứ Luật Thuế xuất khẩu, thuế nhập khẩu ngày 06 tháng 4 năm 2016;</w:t>
      </w:r>
    </w:p>
    <w:p>
      <w:pPr>
        <w:jc w:val="both"/>
      </w:pPr>
      <w:r>
        <w:t>Căn cứ Luật Quản lý thuế ngày 13 tháng 6 năm 2019; Luật sửa đổi, bổ sung một số điều của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 ngày 29 tháng 11 năm 2024;</w:t>
      </w:r>
    </w:p>
    <w:p>
      <w:pPr>
        <w:jc w:val="both"/>
      </w:pPr>
      <w:r>
        <w:t>Căn cứ Luật Hải quan ngày 23 tháng 6 năm 2014;</w:t>
      </w:r>
    </w:p>
    <w:p>
      <w:pPr>
        <w:jc w:val="both"/>
      </w:pPr>
      <w:r>
        <w:t>Căn cứ Nghị quyết số 71/2006/QH11 ngày 29 tháng 11 năm 2006 của Quốc hội phê chuẩn Nghị định thư gia nhập Hiệp định thành lập Tổ chức thương mại thế giới của nước Cộng hòa xã hội chủ nghĩa Việt Nam;</w:t>
      </w:r>
    </w:p>
    <w:p>
      <w:pPr>
        <w:jc w:val="both"/>
      </w:pPr>
      <w:r>
        <w:t>Theo đề nghị của Bộ trưởng Bộ Tài chính;</w:t>
      </w:r>
    </w:p>
    <w:p>
      <w:pPr>
        <w:jc w:val="both"/>
      </w:pPr>
      <w:r>
        <w:t>Chính phủ ban hành Nghị định sửa đổi, bổ sung Nghị định số 26/2023/NĐ-CP ngày 31 tháng 5 năm 2023 của Chính phủ về Biểu thuế xuất khẩu, Biểu thuế nhập khẩu ưu đãi, Danh mục hàng hóa và mức thuế tuyệt đối, thuế hỗn hợp, thuế nhập khẩu ngoài hạn ngạch thuế quan (sau đây gọi là Nghị định số 26/2023/NĐ-CP ).</w:t>
      </w:r>
    </w:p>
    <w:p>
      <w:pPr>
        <w:jc w:val="both"/>
      </w:pPr>
      <w:r>
        <w:rPr>
          <w:b/>
        </w:rPr>
        <w:t>Điều 1. Sửa đổi mức thuế suất thuế xuất khẩu đối với mặt hàng clanhke xi măng quy định tại Biểu thuế xuất khẩu theo Danh mục mặt hàng chịu thuế ban hành kèm theo Nghị định số 26/2023/NĐ-CP</w:t>
      </w:r>
    </w:p>
    <w:p>
      <w:pPr>
        <w:jc w:val="both"/>
      </w:pPr>
      <w:r>
        <w:t>Sửa đổi mức thuế suất thuế xuất khẩu đối với mặt hàng clanhke xi măng quy định tại Phụ lục I - Biểu thuế xuất khẩu theo Danh mục mặt hàng chịu thuế ban hành kèm theo Nghị định số 26/2023/NĐ-CP thành các mức thuế suất thuế xuất khẩu mới quy định tại Phụ lục ban hành kèm theo Nghị định này.</w:t>
      </w:r>
    </w:p>
    <w:p>
      <w:pPr>
        <w:jc w:val="both"/>
      </w:pPr>
      <w:r>
        <w:rPr>
          <w:b/>
        </w:rPr>
        <w:t>Điều 2. Hiệu lực thi hành</w:t>
      </w:r>
    </w:p>
    <w:p>
      <w:pPr>
        <w:jc w:val="both"/>
      </w:pPr>
      <w:r>
        <w:t>1. Nghị định này có hiệu lực thi hành kể từ ngày ký ban hành.</w:t>
      </w:r>
    </w:p>
    <w:p>
      <w:pPr>
        <w:jc w:val="both"/>
      </w:pPr>
      <w:r>
        <w:t>2. Các 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p>
    <w:p>
      <w:pPr>
        <w:jc w:val="both"/>
      </w:pPr>
      <w:r>
        <w:t>TM. CHÍNH PHỦ</w:t>
      </w:r>
    </w:p>
    <w:p>
      <w:pPr>
        <w:jc w:val="both"/>
      </w:pPr>
      <w:r>
        <w:t>KT. THỦ TƯỚNG</w:t>
      </w:r>
    </w:p>
    <w:p>
      <w:pPr>
        <w:jc w:val="both"/>
      </w:pPr>
      <w:r>
        <w:t>PHÓ THỦ TƯỚNG</w:t>
      </w:r>
    </w:p>
    <w:p>
      <w:pPr>
        <w:jc w:val="both"/>
      </w:pPr>
      <w:r>
        <w:t>Hồ Đức Phớc</w:t>
      </w:r>
    </w:p>
    <w:p>
      <w:r>
        <w:rPr>
          <w:i/>
        </w:rPr>
        <w:t>Nguồn: Cơ sở dữ liệu quốc gia về văn bản pháp luật (Bộ Tư pháp). VietSmart Legal, legal.giangpham.asia/van-ban/177781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