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19/2024/TT-BCT</w:t>
      </w:r>
    </w:p>
    <w:p>
      <w:pPr>
        <w:jc w:val="both"/>
      </w:pPr>
      <w:r>
        <w:t>Hà Nội, ngày 10 tháng 10 năm 2024</w:t>
      </w:r>
    </w:p>
    <w:p>
      <w:pPr>
        <w:jc w:val="center"/>
      </w:pPr>
      <w:r>
        <w:rPr>
          <w:b/>
        </w:rPr>
        <w:t>THÔNG TƯ</w:t>
      </w:r>
    </w:p>
    <w:p>
      <w:pPr>
        <w:jc w:val="both"/>
      </w:pPr>
      <w:r>
        <w:t>BAN HÀNH SỬA ĐỔI 1:2024 QCVN 05A:2020/BCT</w:t>
      </w:r>
    </w:p>
    <w:p>
      <w:pPr>
        <w:jc w:val="both"/>
      </w:pPr>
      <w:r>
        <w:t>QUY CHUẨN KỸ THUẬT QUỐC GIA VỀ AN TOÀN TRONG SẢN XUẤT, KINH DOANH,</w:t>
      </w:r>
    </w:p>
    <w:p>
      <w:pPr>
        <w:jc w:val="both"/>
      </w:pPr>
      <w:r>
        <w:t>SỬ DỤNG, BẢO QUẢN VÀ VẬN CHUYỂN HÓA CHẤT NGUY HIỂM</w:t>
      </w:r>
    </w:p>
    <w:p>
      <w:pPr>
        <w:jc w:val="both"/>
      </w:pPr>
      <w:r>
        <w:t>----------------------------------</w:t>
      </w:r>
    </w:p>
    <w:p>
      <w:pPr>
        <w:jc w:val="both"/>
      </w:pPr>
      <w:r>
        <w:t>Căn cứ Luật Tiêu chuẩn và Quy chuẩn kỹ thuật ngày 29 tháng 6 năm 2006;</w:t>
      </w:r>
    </w:p>
    <w:p>
      <w:pPr>
        <w:jc w:val="both"/>
      </w:pPr>
      <w:r>
        <w:t>Căn cứ Luật Hóa chất ngày 21 tháng 11 năm 2007;</w:t>
      </w:r>
    </w:p>
    <w:p>
      <w:pPr>
        <w:jc w:val="both"/>
      </w:pPr>
      <w:r>
        <w:t>Căn cứ Nghị định số 127/2007/NĐ-CP ngày 01 tháng 8 năm 2007 của Chính phủ quy định chi tiết thi hành một số điều của Luật Tiêu chuẩn và Quy chuẩn kỹ thuật; Nghị định số 78/2018/NĐ-CP ngày 16 tháng 5 năm 2018 của Chính phủ sửa đổi, bổ sung một số điều của Nghị định số 127/2007/NĐ-CP ngày 01 tháng 8 năm 2007 của Chính phủ quy định chi tiết thi hành một số điều Luật Tiêu chuẩn và Quy chuẩn kỹ thuật;</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113/2017/NĐ-CP ngày 09 tháng 10 năm 2017 của Chính phủ quy định chi tiết và hướng dẫn thi hành một số điều của Luật Hóa chất;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w:t>
      </w:r>
    </w:p>
    <w:p>
      <w:pPr>
        <w:jc w:val="both"/>
      </w:pPr>
      <w:r>
        <w:t>Theo đề nghị của Cục trưởng Cục Hóa chất;</w:t>
      </w:r>
    </w:p>
    <w:p>
      <w:pPr>
        <w:jc w:val="both"/>
      </w:pPr>
      <w:r>
        <w:t>Bộ trưởng Bộ Công Thương ban hành Thông tư ban hành Sửa đổi 1:2024 QCVN 05A:2020/BCT Quy chuẩn kỹ thuật quốc gia về an toàn trong sản xuất, kinh doanh, sử dụng, bảo quản và vận chuyển hóa chất nguy hiểm.</w:t>
      </w:r>
    </w:p>
    <w:p>
      <w:pPr>
        <w:jc w:val="both"/>
      </w:pPr>
      <w:r>
        <w:rPr>
          <w:b/>
        </w:rPr>
        <w:t>Điều 1. Ban hành kèm theo Thông tư này Sửa đổi 1:2024 QCVN 05A:2020/BCT Quy chuẩn kỹ thuật quốc gia về an toàn trong sản xuất, kinh doanh, sử dụng, bảo quản và vận chuyển hóa chất nguy hiểm.</w:t>
      </w:r>
    </w:p>
    <w:p>
      <w:pPr>
        <w:jc w:val="both"/>
      </w:pPr>
      <w:r>
        <w:rPr>
          <w:b/>
        </w:rPr>
        <w:t>Điều 2. Hiệu lực thi hành</w:t>
      </w:r>
    </w:p>
    <w:p>
      <w:pPr>
        <w:jc w:val="both"/>
      </w:pPr>
      <w:r>
        <w:t>1. Thông tư này có hiệu lực thi hành kể từ ngày 15 tháng 4 năm 2025.</w:t>
      </w:r>
    </w:p>
    <w:p>
      <w:pPr>
        <w:jc w:val="both"/>
      </w:pPr>
      <w:r>
        <w:t>2. Quy định chuyển tiếp</w:t>
      </w:r>
    </w:p>
    <w:p>
      <w:pPr>
        <w:jc w:val="both"/>
      </w:pPr>
      <w:r>
        <w:t>Nhà xưởng, kho chứa hóa chất nguy hiểm đã được đưa vào hoạt động trước ngày 15 tháng 4 năm 2025, chậm nhất đến ngày 15 tháng 4 năm 2026 phải đáp ứng yêu cầu của Sửa đổi 1:2024 QCVN 05A:2020/BCT.</w:t>
      </w:r>
    </w:p>
    <w:p>
      <w:pPr>
        <w:jc w:val="both"/>
      </w:pPr>
      <w:r>
        <w:rPr>
          <w:b/>
        </w:rPr>
        <w:t>Điều 3. Tổ chức thực hiện</w:t>
      </w:r>
    </w:p>
    <w:p>
      <w:pPr>
        <w:jc w:val="both"/>
      </w:pPr>
      <w:r>
        <w:t>1. Cục trưởng Cục Hóa chất có trách nhiệm tổ chức hướng dẫn và triển khai thực hiện Thông tư này.</w:t>
      </w:r>
    </w:p>
    <w:p>
      <w:pPr>
        <w:jc w:val="both"/>
      </w:pPr>
      <w:r>
        <w:t>2. Chánh Văn phòng Bộ, Cục trưởng Cục Hóa chất, Giám đốc Sở Công Thương các tỉnh, thành phố trực thuộc Trung ương, Thủ trưởng các cơ quan, tổ chức và cá nhân có liên quan chịu trách nhiệm thi hành Thông tư này.</w:t>
      </w:r>
    </w:p>
    <w:p>
      <w:pPr>
        <w:jc w:val="both"/>
      </w:pPr>
      <w:r>
        <w:t>3. Trong quá trình thực hiện, nếu phát sinh vướng mắc, cơ quan, tổ chức, cá nhân kịp thời phản ánh bằng văn bản về Bộ Công Thương (qua Cục Hóa chất) để được hướng dẫn hoặc nghiên cứu sửa đổi, bổ sung cho phù hợp./.</w:t>
      </w:r>
    </w:p>
    <w:p>
      <w:pPr>
        <w:jc w:val="both"/>
      </w:pPr>
      <w:r>
        <w:t>Nơi nhận:</w:t>
      </w:r>
    </w:p>
    <w:p>
      <w:pPr>
        <w:jc w:val="both"/>
      </w:pPr>
      <w:r>
        <w:t>- Ủy ban Thường vụ Quốc hội;</w:t>
      </w:r>
    </w:p>
    <w:p>
      <w:pPr>
        <w:jc w:val="both"/>
      </w:pPr>
      <w:r>
        <w:t>- Hội đồng dân tộc và các Ủy ban của Quốc hội;</w:t>
      </w:r>
    </w:p>
    <w:p>
      <w:pPr>
        <w:jc w:val="both"/>
      </w:pPr>
      <w:r>
        <w:t>- Thủ tướng và các Phó Thủ tướng Chính phủ;</w:t>
      </w:r>
    </w:p>
    <w:p>
      <w:pPr>
        <w:jc w:val="both"/>
      </w:pPr>
      <w:r>
        <w:t>- Văn phòng Tổng bí thư;</w:t>
      </w:r>
    </w:p>
    <w:p>
      <w:pPr>
        <w:jc w:val="both"/>
      </w:pPr>
      <w:r>
        <w:t>- Văn phòng Chủ tịch nước;</w:t>
      </w:r>
    </w:p>
    <w:p>
      <w:pPr>
        <w:jc w:val="both"/>
      </w:pPr>
      <w:r>
        <w:t>- Văn phòng Quốc hội;</w:t>
      </w:r>
    </w:p>
    <w:p>
      <w:pPr>
        <w:jc w:val="both"/>
      </w:pPr>
      <w:r>
        <w:t>- Bộ trưởng (để báo cáo);</w:t>
      </w:r>
    </w:p>
    <w:p>
      <w:pPr>
        <w:jc w:val="both"/>
      </w:pPr>
      <w:r>
        <w:t>- Các Bộ, cơ quan ngang Bộ, cơ quan thuộc CP;</w:t>
      </w:r>
    </w:p>
    <w:p>
      <w:pPr>
        <w:jc w:val="both"/>
      </w:pPr>
      <w:r>
        <w:t>- Các đơn vị thuộc Bộ Công Thương;</w:t>
      </w:r>
    </w:p>
    <w:p>
      <w:pPr>
        <w:jc w:val="both"/>
      </w:pPr>
      <w:r>
        <w:t>- HĐND, UBND các tỉnh, thành phố trực thuộc TW;</w:t>
      </w:r>
    </w:p>
    <w:p>
      <w:pPr>
        <w:jc w:val="both"/>
      </w:pPr>
      <w:r>
        <w:t>- Sở Công Thương các tỉnh, thành phố trực thuộc TW;</w:t>
      </w:r>
    </w:p>
    <w:p>
      <w:pPr>
        <w:jc w:val="both"/>
      </w:pPr>
      <w:r>
        <w:t>- Cục Kiểm tra VBQPPL (Bộ Tư pháp);</w:t>
      </w:r>
    </w:p>
    <w:p>
      <w:pPr>
        <w:jc w:val="both"/>
      </w:pPr>
      <w:r>
        <w:t>- Công báo;</w:t>
      </w:r>
    </w:p>
    <w:p>
      <w:pPr>
        <w:jc w:val="both"/>
      </w:pPr>
      <w:r>
        <w:t>- Website Chính phủ; website Bộ Công Thương;</w:t>
      </w:r>
    </w:p>
    <w:p>
      <w:pPr>
        <w:jc w:val="both"/>
      </w:pPr>
      <w:r>
        <w:t>- Lưu: VT, HC.</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legal.giangpham.asia/van-ban/173408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