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CỘNG HÒA XÃ HỘI CHỦ NGHĨA VIỆT NAM</w:t>
      </w:r>
    </w:p>
    <w:p>
      <w:pPr>
        <w:jc w:val="both"/>
      </w:pPr>
      <w:r>
        <w:t>Độc lập - Tự do - Hạnh phúc</w:t>
      </w:r>
    </w:p>
    <w:p>
      <w:pPr>
        <w:jc w:val="both"/>
      </w:pPr>
      <w:r>
        <w:t>S ố : 04/2005/TT-BTM</w:t>
      </w:r>
    </w:p>
    <w:p>
      <w:pPr>
        <w:jc w:val="both"/>
      </w:pPr>
      <w:r>
        <w:t>Hà N ộ i, ngày 24 tháng 3 n ă m 2005</w:t>
      </w:r>
    </w:p>
    <w:p>
      <w:pPr>
        <w:jc w:val="center"/>
      </w:pPr>
      <w:r>
        <w:rPr>
          <w:b/>
        </w:rPr>
        <w:t>THÔNG TƯ</w:t>
      </w:r>
    </w:p>
    <w:p>
      <w:pPr>
        <w:jc w:val="both"/>
      </w:pPr>
      <w:r>
        <w:t>Về việc điều chỉnh Danh mục hàng nhập khẩu áp dụng hạn ngạch thuế quan năm 2005</w:t>
      </w:r>
    </w:p>
    <w:p>
      <w:pPr>
        <w:jc w:val="both"/>
      </w:pPr>
      <w:r>
        <w:t>(bổ sung, sửa đổi Thông tư số 10/2004/TT-BTM ngày 27/12/2004 của Bộ Thương mại)</w:t>
      </w:r>
    </w:p>
    <w:p>
      <w:pPr>
        <w:jc w:val="both"/>
      </w:pPr>
      <w:r>
        <w:t>Căn cứ Quyết định số 91/2003/QĐ-TTg ngày 09 tháng 5 năm 2003 của Thủ tướng Chính phủ về áp dụng hạn ngạch thuế quan đối với hàng nhập khẩu tại Việt Nam;</w:t>
      </w:r>
    </w:p>
    <w:p>
      <w:pPr>
        <w:jc w:val="both"/>
      </w:pPr>
      <w:r>
        <w:t>Căn cứ Quyết định Số 46/2005/QĐ-TTg ngày 03 tháng 3 năm 2005 của Thủ tướng Chính phủ về việc điều chỉnh Danh mục hàng nhập khẩu áp dụng hạn ngạch thuế quan;</w:t>
      </w:r>
    </w:p>
    <w:p>
      <w:pPr>
        <w:jc w:val="both"/>
      </w:pPr>
      <w:r>
        <w:t>Bộ Thương mại bổ sung, sửa đổi Thông tư số 10/2004/TT-BTM ngày 27/12/2004 của Bộ Thương mại về việc điều chỉnh Danh mục hàng nhập khẩu áp dụng hạn ngạch thuế quan năm 2005 như sau:</w:t>
      </w:r>
    </w:p>
    <w:p>
      <w:pPr>
        <w:jc w:val="both"/>
      </w:pPr>
      <w:r>
        <w:t>1. Sửa đổi Phần I "Quy định chung" của Thông tư số 10/2004/TT-BTM ngày 27 tháng 12 năm 2004 của Bộ Thương mại như sau:</w:t>
      </w:r>
    </w:p>
    <w:p>
      <w:pPr>
        <w:jc w:val="both"/>
      </w:pPr>
      <w:r>
        <w:t>Áp dụng hạn ngạch thuế quan năm 2005 đối với 03 mặt hàng: trứng gia cầm, thuốc lá nguyên liệu và muối theo các chi tiết sau:</w:t>
      </w:r>
    </w:p>
    <w:p>
      <w:pPr>
        <w:jc w:val="both"/>
      </w:pPr>
      <w:r>
        <w:t>Thứ tự</w:t>
      </w:r>
    </w:p>
    <w:p>
      <w:pPr>
        <w:jc w:val="both"/>
      </w:pPr>
      <w:r>
        <w:t>Mã số HS</w:t>
      </w:r>
    </w:p>
    <w:p>
      <w:pPr>
        <w:jc w:val="both"/>
      </w:pPr>
      <w:r>
        <w:t>Mô tả hàng hoá</w:t>
      </w:r>
    </w:p>
    <w:p>
      <w:pPr>
        <w:jc w:val="both"/>
      </w:pPr>
      <w:r>
        <w:t>Số lượng cho năm 2005</w:t>
      </w:r>
    </w:p>
    <w:p>
      <w:pPr>
        <w:jc w:val="both"/>
      </w:pPr>
      <w:r>
        <w:t>1</w:t>
      </w:r>
    </w:p>
    <w:p>
      <w:pPr>
        <w:jc w:val="both"/>
      </w:pPr>
      <w:r>
        <w:t>0407</w:t>
      </w:r>
    </w:p>
    <w:p>
      <w:pPr>
        <w:jc w:val="both"/>
      </w:pPr>
      <w:r>
        <w:t>Trứng gia cầm</w:t>
      </w:r>
    </w:p>
    <w:p>
      <w:pPr>
        <w:jc w:val="both"/>
      </w:pPr>
      <w:r>
        <w:t>Cấp theo nhu cầu</w:t>
      </w:r>
    </w:p>
    <w:p>
      <w:pPr>
        <w:jc w:val="both"/>
      </w:pPr>
      <w:r>
        <w:t>2</w:t>
      </w:r>
    </w:p>
    <w:p>
      <w:pPr>
        <w:jc w:val="both"/>
      </w:pPr>
      <w:r>
        <w:t>2401</w:t>
      </w:r>
    </w:p>
    <w:p>
      <w:pPr>
        <w:jc w:val="both"/>
      </w:pPr>
      <w:r>
        <w:t>Thuốc lá nguyên liệu</w:t>
      </w:r>
    </w:p>
    <w:p>
      <w:pPr>
        <w:jc w:val="both"/>
      </w:pPr>
      <w:r>
        <w:t>29.774 tấn</w:t>
      </w:r>
    </w:p>
    <w:p>
      <w:pPr>
        <w:jc w:val="both"/>
      </w:pPr>
      <w:r>
        <w:t>3</w:t>
      </w:r>
    </w:p>
    <w:p>
      <w:pPr>
        <w:jc w:val="both"/>
      </w:pPr>
      <w:r>
        <w:t>2501</w:t>
      </w:r>
    </w:p>
    <w:p>
      <w:pPr>
        <w:jc w:val="both"/>
      </w:pPr>
      <w:r>
        <w:t>Muối</w:t>
      </w:r>
    </w:p>
    <w:p>
      <w:pPr>
        <w:jc w:val="both"/>
      </w:pPr>
      <w:r>
        <w:t>200.000 tấn</w:t>
      </w:r>
    </w:p>
    <w:p>
      <w:pPr>
        <w:jc w:val="both"/>
      </w:pPr>
      <w:r>
        <w:t>2. Bãi bỏ các quy định tại Mục 3, Mục 4, Phần II "Đối tượng được phân giao hạn ngạch thuế quan" trong Thông tư số 10/2004/TT-BTM ngày 27 tháng 12 năm 2004 của Bộ Thương mại liên quan đến việc giao hạn ngạch thuế quan các mặt hàng sữa nguyên liệu chưa cô đặc (mã số 0401), sữa nguyên liệu cô đặc (mã số 0402), ngô hạt (mã số 1005) và bông (mã số 5201, 5202 và 5203).</w:t>
      </w:r>
    </w:p>
    <w:p>
      <w:pPr>
        <w:jc w:val="both"/>
      </w:pPr>
      <w:r>
        <w:t>3. Các nội dung khác của Thông tư số 10/2004/TT-BTM ngày 27 tháng 12 năm 2004 của Bộ Thương mại giữ nguyên hiệu lực thi hành.</w:t>
      </w:r>
    </w:p>
    <w:p>
      <w:pPr>
        <w:jc w:val="both"/>
      </w:pPr>
      <w:r>
        <w:t>4. Thông tư này có hiệu lực thi hành sau 15 ngày, kể từ ngày đăng Công báo./.</w:t>
      </w:r>
    </w:p>
    <w:p>
      <w:pPr>
        <w:jc w:val="both"/>
      </w:pPr>
      <w:r>
        <w:t>KT. BỘ TRƯỞNG</w:t>
      </w:r>
    </w:p>
    <w:p>
      <w:pPr>
        <w:jc w:val="both"/>
      </w:pPr>
      <w:r>
        <w:t>THỨ TRƯỞNG</w:t>
      </w:r>
    </w:p>
    <w:p>
      <w:pPr>
        <w:jc w:val="both"/>
      </w:pPr>
      <w:r>
        <w:t>(Đã ký)</w:t>
      </w:r>
    </w:p>
    <w:p>
      <w:pPr>
        <w:jc w:val="both"/>
      </w:pPr>
      <w:r>
        <w:t>Phan Thế Ruệ</w:t>
      </w:r>
    </w:p>
    <w:p>
      <w:r>
        <w:rPr>
          <w:i/>
        </w:rPr>
        <w:t>Nguồn: Cơ sở dữ liệu quốc gia về văn bản pháp luật (Bộ Tư pháp). VietSmart Legal, legal.giangpham.asia/van-ban/17329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