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46/2024/TT-BTC</w:t>
      </w:r>
    </w:p>
    <w:p>
      <w:pPr>
        <w:jc w:val="both"/>
      </w:pPr>
      <w:r>
        <w:t>Hà Nội, ngày 09 tháng 7 năm 2024</w:t>
      </w:r>
    </w:p>
    <w:p>
      <w:pPr>
        <w:jc w:val="center"/>
      </w:pPr>
      <w:r>
        <w:rPr>
          <w:b/>
        </w:rPr>
        <w:t>THÔNG TƯ</w:t>
      </w:r>
    </w:p>
    <w:p>
      <w:pPr>
        <w:jc w:val="both"/>
      </w:pPr>
      <w:r>
        <w:t>Sửa đổi, bổ sung một số điều của Thông tư số 19/2021/TT-BTC ngày 18/3/2021 của Bộ trưởng Bộ Tài chính hướng dẫn giao dịch điện tử trong lĩnh vực thuế</w:t>
      </w:r>
    </w:p>
    <w:p>
      <w:pPr>
        <w:jc w:val="both"/>
      </w:pPr>
      <w:r>
        <w:t>Căn cứ Luật Quản lý thuế ngày 13/06/2019;</w:t>
      </w:r>
    </w:p>
    <w:p>
      <w:pPr>
        <w:jc w:val="both"/>
      </w:pPr>
      <w:r>
        <w:t>Căn cứ Luật Căn cước ngày 27 tháng 11 năm 2023;</w:t>
      </w:r>
    </w:p>
    <w:p>
      <w:pPr>
        <w:jc w:val="both"/>
      </w:pPr>
      <w:r>
        <w:t>Căn cứ Nghị định số 125/2020/NĐ-CP ngày 19/10/2020 của Chính phủ quy định xử phạt vi phạm hành chính về thuế, hóa đơn;</w:t>
      </w:r>
    </w:p>
    <w:p>
      <w:pPr>
        <w:jc w:val="both"/>
      </w:pPr>
      <w:r>
        <w:t>Căn cứ Nghị định số 59/2022/NĐ-CP ngày 05/9/2022 của Chính phủ quy định về định danh và xác thực điện tử;</w:t>
      </w:r>
    </w:p>
    <w:p>
      <w:pPr>
        <w:jc w:val="both"/>
      </w:pPr>
      <w:r>
        <w:t>Căn cứ Nghị định số 14/2023/NĐ-CP ngày 20/4/2023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sửa đổi, bổ sung một số điều của Thông tư số 19/2021/TT-BTC ngày 18/3/2021 hướng dẫn giao dịch điện tử trong lĩnh vực thuế:</w:t>
      </w:r>
    </w:p>
    <w:p>
      <w:pPr>
        <w:jc w:val="both"/>
      </w:pPr>
      <w:r>
        <w:rPr>
          <w:b/>
        </w:rPr>
        <w:t>Điều 1. Sửa đổi, bổ sung một số điều của Thông tư số 19/2021/TT-BTC ngày 18/3/2021 hướng dẫn giao dịch điện tử trong lĩnh vực thuế</w:t>
      </w:r>
    </w:p>
    <w:p>
      <w:pPr>
        <w:jc w:val="both"/>
      </w:pPr>
      <w:r>
        <w:t>1. Bổ sung điểm b.3 khoản 1 Điều 10 như sau:</w:t>
      </w:r>
    </w:p>
    <w:p>
      <w:pPr>
        <w:jc w:val="both"/>
      </w:pPr>
      <w:r>
        <w:t>"1. Đăng ký cấp tài khoản giao dịch thuế điện tử với cơ quan thuế qua Cổng thông tin điện tử của Tổng cục Thuế</w:t>
      </w:r>
    </w:p>
    <w:p>
      <w:pPr>
        <w:jc w:val="both"/>
      </w:pPr>
      <w:r>
        <w:t>b) Thủ tục đăng ký, cấp tài khoản giao dịch thuế điện tử với cơ quan thuế bằng phương thức điện tử trực tiếp qua Cổng thông tin điện tử của Tổng cục Thuế.</w:t>
      </w:r>
    </w:p>
    <w:p>
      <w:pPr>
        <w:jc w:val="both"/>
      </w:pPr>
      <w:r>
        <w:t>b.3. Đối với người nộp thuế là cá nhân đã đăng ký và kích hoạt tài khoản định danh điện tử mức độ 2 theo quy định tại khoản 2 Điều 14, khoản 2 Điều 15 và Điều 18 Nghị định số 59/2022/NĐ-CP ngày 05/9/2022 của Chính phủ quy định về định danh và xác thực điện tử; đồng thời hệ thống định danh, xác thực điện tử và Cổng thông tin điện tử của Tổng cục Thuế đã được kết nối, vận hành thì người nộp thuế là cá nhân được sử dụng tài khoản định danh điện tử thay thế cho việc xuất trình chứng minh thư nhân dân hoặc hộ chiếu/thẻ căn cước công dân/thẻ căn cước để tiếp tục thực hiện thủ tục đăng ký, cấp tài khoản giao dịch thuế điện tử với cơ quan thuế bằng phương thức điện tử theo các bước công việc tại điểm b.1 khoản 1 Điều 10 Thông tư này; yêu cầu kích hoạt tài khoản giao dịch điện tử cho người nộp thuế là cá nhân được gửi qua số điện thoại đã đăng ký hoặc email đã đăng ký."</w:t>
      </w:r>
    </w:p>
    <w:p>
      <w:pPr>
        <w:jc w:val="both"/>
      </w:pPr>
      <w:r>
        <w:t>2. Sửa đổi điểm b khoản 1 Điều 13 như sau:</w:t>
      </w:r>
    </w:p>
    <w:p>
      <w:pPr>
        <w:jc w:val="both"/>
      </w:pPr>
      <w:r>
        <w:t>"1. Hồ sơ đăng ký thuế lần đầu</w:t>
      </w:r>
    </w:p>
    <w:p>
      <w:pPr>
        <w:jc w:val="both"/>
      </w:pPr>
      <w:r>
        <w:t>b) Cổng thông tin điện tử của Tổng cục Thuế tiếp nhận, đối chiếu thông tin và gửi Thông báo tiếp nhận hồ sơ đăng ký thuế điện tử (theo mẫu số 01-1/TB-TĐT ban hành kèm theo Thông tư này) cho người nộp thuế chậm nhất 15 phút kể từ khi nhận được hồ sơ đăng ký thuế của người nộp thuế vào địa chỉ thư điện tử hoặc số điện thoại người nộp thuế đã đăng ký với cơ quan thuế, thông báo nêu rõ thời gian, địa điểm trả kết quả."</w:t>
      </w:r>
    </w:p>
    <w:p>
      <w:pPr>
        <w:jc w:val="both"/>
      </w:pPr>
      <w:r>
        <w:t>3. Sửa đổi, bổ sung điểm a khoản 1 và điểm b khoản 3 Điều 32 như sau:</w:t>
      </w:r>
    </w:p>
    <w:p>
      <w:pPr>
        <w:jc w:val="both"/>
      </w:pPr>
      <w:r>
        <w:t>"1. Cơ quan thuế lập và gửi Biên bản vi phạm hành chính về xử phạt vi phạm hành chính về thuế bằng phương thức điện tử:</w:t>
      </w:r>
    </w:p>
    <w:p>
      <w:pPr>
        <w:jc w:val="both"/>
      </w:pPr>
      <w:r>
        <w:t>a) Về đăng ký thuế: Người nộp thuế khi có hành vi vi phạm về thời hạn đăng ký thuế; thời hạn thông báo đăng ký thay đổi thông tin đăng ký thuế; thời hạn thông báo tạm ngừng hoạt động kinh doanh; thông báo tiếp tục kinh doanh trước thời hạn thì cơ quan thuế căn cứ ngày nộp hồ sơ theo quy định tại điểm b khoản 1 Điều 8 Thông tư này được ghi trên thông báo tiếp nhận hồ sơ đăng ký thuế/hồ sơ đăng ký thay đổi thông tin đăng ký thuế/hồ sơ tạm ngừng hoạt động kinh doanh; tiếp tục kinh doanh trước thời hạn (theo mẫu số 01-1/TB-TĐT ban hành kèm theo Thông tư này) và thời hạn quy định tại Luật Quản lý thuế và văn bản hướng dẫn thi hành Luật Quản lý thuế để xác định số ngày chậm nộp hồ sơ và lập Biên bản vi phạm hành chính về xử phạt vi phạm hành chính về thuế gửi cho người nộp thuế theo quy định tại khoản 2 Điều 5 Thông tư này."</w:t>
      </w:r>
    </w:p>
    <w:p>
      <w:pPr>
        <w:jc w:val="both"/>
      </w:pPr>
      <w:r>
        <w:t>"3. Cơ quan thuế ban hành Quyết định xử phạt vi phạm hành chính về thuế bằng phương thức điện tử:</w:t>
      </w:r>
    </w:p>
    <w:p>
      <w:pPr>
        <w:jc w:val="both"/>
      </w:pPr>
      <w:r>
        <w:t>b) Sau thời hạn giải trình nêu tại khoản 2 Điều 32 Thông tư này, cơ quan thuế căn cứ hành vi vi phạm hành chính thuế của người nộp thuế đã nêu trong Biên bản vi phạm hành chính thuế và các văn bản, hồ sơ giải trình bổ sung thông tin tài liệu về các tình tiết giảm nhẹ của người nộp thuế (nếu có) để ban hành Quyết định xử phạt vi phạm hành chính về thuế và gửi cho người nộp thuế theo quy định tại khoản 2 Điều 5 Thông tư này.</w:t>
      </w:r>
    </w:p>
    <w:p>
      <w:pPr>
        <w:jc w:val="both"/>
      </w:pPr>
      <w:r>
        <w:t>Trường hợp không chấp nhận nội dung giải trình, bổ sung thông tin tài liệu của người nộp thuế thì cơ quan thuế gửi Thông báo không chấp nhận giải trình, bổ sung thông tin tài liệu (theo mẫu số 01-3/TB-TĐT ban hành kèm theo Thông tư này) và Quyết định xử phạt vi phạm hành chính về thuế cho người nộp thuế theo quy định tại khoản 2 Điều 5 Thông tư này".</w:t>
      </w:r>
    </w:p>
    <w:p>
      <w:pPr>
        <w:jc w:val="both"/>
      </w:pPr>
      <w:r>
        <w:rPr>
          <w:b/>
        </w:rPr>
        <w:t>Điều 2. Hiệu lực thi hành</w:t>
      </w:r>
    </w:p>
    <w:p>
      <w:pPr>
        <w:jc w:val="both"/>
      </w:pPr>
      <w:r>
        <w:t>1. Thông tư này có hiệu lực thi hành kể từ ngày 28 tháng 8 năm 2024.</w:t>
      </w:r>
    </w:p>
    <w:p>
      <w:pPr>
        <w:jc w:val="both"/>
      </w:pPr>
      <w:r>
        <w:t>2. Trường hợp các văn bản viện dẫn tại Thông tư này được sửa đổi, bổ sung hoặc thay thế thì thực hiện theo văn bản mới được sửa đổi, bổ sung hoặc thay thế đó.</w:t>
      </w:r>
    </w:p>
    <w:p>
      <w:pPr>
        <w:jc w:val="both"/>
      </w:pPr>
      <w:r>
        <w:t>3. 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Chủ tịch nước;</w:t>
      </w:r>
    </w:p>
    <w:p>
      <w:pPr>
        <w:jc w:val="both"/>
      </w:pPr>
      <w:r>
        <w:t>- Văn phòng Tổng bí thư;</w:t>
      </w:r>
    </w:p>
    <w:p>
      <w:pPr>
        <w:jc w:val="both"/>
      </w:pPr>
      <w:r>
        <w:t>- Văn phòng Quốc hội;</w:t>
      </w:r>
    </w:p>
    <w:p>
      <w:pPr>
        <w:jc w:val="both"/>
      </w:pPr>
      <w:r>
        <w:t>- Hội đồng dân tộc và các Ủy ban của Quốc hội;</w:t>
      </w:r>
    </w:p>
    <w:p>
      <w:pPr>
        <w:jc w:val="both"/>
      </w:pPr>
      <w:r>
        <w:t>- Toà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Cục Kiểm tra văn bản QPPL (Bộ Tư pháp);</w:t>
      </w:r>
    </w:p>
    <w:p>
      <w:pPr>
        <w:jc w:val="both"/>
      </w:pPr>
      <w:r>
        <w:t>- Công báo;</w:t>
      </w:r>
    </w:p>
    <w:p>
      <w:pPr>
        <w:jc w:val="both"/>
      </w:pPr>
      <w:r>
        <w:t>- HĐND, UBND các tỉnh, thành phố trực thuộc Trung ương;</w:t>
      </w:r>
    </w:p>
    <w:p>
      <w:pPr>
        <w:jc w:val="both"/>
      </w:pPr>
      <w:r>
        <w:t>- Cục Thuế các tỉnh, thành phố trực thuộc Trung ương;</w:t>
      </w:r>
    </w:p>
    <w:p>
      <w:pPr>
        <w:jc w:val="both"/>
      </w:pPr>
      <w:r>
        <w:t>- Các đơn vị thuộc, trực thuộc BTC;</w:t>
      </w:r>
    </w:p>
    <w:p>
      <w:pPr>
        <w:jc w:val="both"/>
      </w:pPr>
      <w:r>
        <w:t>- Cổng TTĐT Chính phủ;</w:t>
      </w:r>
    </w:p>
    <w:p>
      <w:pPr>
        <w:jc w:val="both"/>
      </w:pPr>
      <w:r>
        <w:t>- Cổng TTĐT Bộ Tài chính;</w:t>
      </w:r>
    </w:p>
    <w:p>
      <w:pPr>
        <w:jc w:val="both"/>
      </w:pPr>
      <w:r>
        <w:t>- Website Tổng cục Thuế;</w:t>
      </w:r>
    </w:p>
    <w:p>
      <w:pPr>
        <w:jc w:val="both"/>
      </w:pPr>
      <w:r>
        <w:t>- Lưu: VT; TCT (VT, KK4b)</w:t>
      </w:r>
    </w:p>
    <w:p>
      <w:pPr>
        <w:jc w:val="both"/>
      </w:pPr>
      <w:r>
        <w:t>KT. BỘ TRƯỞNG</w:t>
      </w:r>
    </w:p>
    <w:p>
      <w:pPr>
        <w:jc w:val="both"/>
      </w:pPr>
      <w:r>
        <w:t>THỨ TRƯỞNG</w:t>
      </w:r>
    </w:p>
    <w:p>
      <w:pPr>
        <w:jc w:val="both"/>
      </w:pPr>
      <w:r>
        <w:t>(Đã ký)</w:t>
      </w:r>
    </w:p>
    <w:p>
      <w:pPr>
        <w:jc w:val="both"/>
      </w:pPr>
      <w:r>
        <w:t>Cao Anh Tuấn</w:t>
      </w:r>
    </w:p>
    <w:p>
      <w:pPr>
        <w:jc w:val="both"/>
      </w:pPr>
      <w:r>
        <w:t>Mẫu số: 01-3/TB-TĐT (Ban hành kèm theo Thông tư số ...../2024/TT-BTC ngày ..../...../2024 của Bộ trưởng Bộ Tài chính)</w:t>
      </w:r>
    </w:p>
    <w:p>
      <w:pPr>
        <w:jc w:val="both"/>
      </w:pPr>
      <w:r>
        <w:t>BỘ TÀI CHÍNH</w:t>
      </w:r>
    </w:p>
    <w:p>
      <w:pPr>
        <w:jc w:val="both"/>
      </w:pPr>
      <w:r>
        <w:t>TỔNG CỤC THUÊ</w:t>
      </w:r>
    </w:p>
    <w:p>
      <w:pPr>
        <w:jc w:val="both"/>
      </w:pPr>
      <w:r>
        <w:t>CỘNG HOÀ XÃ HỘI CHỦ NGHĨA VIỆT NAM</w:t>
      </w:r>
    </w:p>
    <w:p>
      <w:pPr>
        <w:jc w:val="both"/>
      </w:pPr>
      <w:r>
        <w:t>Độc lập - Tự do - Hạnh phúc</w:t>
      </w:r>
    </w:p>
    <w:p>
      <w:pPr>
        <w:jc w:val="both"/>
      </w:pPr>
      <w:r>
        <w:t>Số: ...../TB-TĐT</w:t>
      </w:r>
    </w:p>
    <w:p>
      <w:pPr>
        <w:jc w:val="both"/>
      </w:pPr>
      <w:r>
        <w:t>....., ngày.....tháng.....năm...</w:t>
      </w:r>
    </w:p>
    <w:p>
      <w:pPr>
        <w:jc w:val="both"/>
      </w:pPr>
      <w:r>
        <w:t>THÔNG BÁO</w:t>
      </w:r>
    </w:p>
    <w:p>
      <w:pPr>
        <w:jc w:val="both"/>
      </w:pPr>
      <w:r>
        <w:t>Về việc không chấp nhận giải trình, bổ sung thông tin tài liệu</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Căn cứ Thông tư số ..../2024/TT-BTC ngày .../.../2024 của Bộ Tài chính sửa đổi, bổ sung một số điều của Thông tư số 19/2021/TT-BTC ngày 18/3/2021 của Bộ trưởng Bộ Tài chính hướng dẫn giao dịch điện tử trong lĩnh vực thuế;</w:t>
      </w:r>
    </w:p>
    <w:p>
      <w:pPr>
        <w:jc w:val="both"/>
      </w:pPr>
      <w:r>
        <w:t>Căn cứ của gửi tới cơ quan thuế/người nộp thuế do chuyển sang cơ quan thuế&gt; đã được Công thông tin điện tử của Tổng cục Thuế thông báo tiếp nhận vào lúc...giờ...phút ngày ...tháng ... năm....., mã giao dịch điện tử..... Cơ quan thuế thông báo về việc không chấp nhận của gửi tới cơ quan thuế/người nộp thuế do chuyển sang&gt;, cụ thể như sau:</w:t>
      </w:r>
    </w:p>
    <w:p>
      <w:pPr>
        <w:jc w:val="both"/>
      </w:pPr>
      <w:r>
        <w:t>Tên hồ sơ:..................</w:t>
      </w:r>
    </w:p>
    <w:p>
      <w:pPr>
        <w:jc w:val="both"/>
      </w:pPr>
      <w:r>
        <w:t>Lý do không chấp nhận cụ thể như sau:</w:t>
      </w:r>
    </w:p>
    <w:p>
      <w:pPr>
        <w:jc w:val="both"/>
      </w:pPr>
      <w:r>
        <w:t>Cơ quan thuế thông báo về được biết.</w:t>
      </w:r>
    </w:p>
    <w:p>
      <w:pPr>
        <w:jc w:val="both"/>
      </w:pPr>
      <w:r>
        <w:t>Nơi nhận:</w:t>
      </w:r>
    </w:p>
    <w:p>
      <w:pPr>
        <w:jc w:val="both"/>
      </w:pPr>
      <w:r>
        <w:t>- &lt;Người nộp thuế&gt;;</w:t>
      </w:r>
    </w:p>
    <w:p>
      <w:pPr>
        <w:jc w:val="both"/>
      </w:pPr>
      <w:r>
        <w:t>- …………………;</w:t>
      </w:r>
    </w:p>
    <w:p>
      <w:pPr>
        <w:jc w:val="both"/>
      </w:pPr>
      <w:r>
        <w:t>- Lưu: ....</w:t>
      </w:r>
    </w:p>
    <w:p>
      <w:pPr>
        <w:jc w:val="both"/>
      </w:pPr>
      <w:r>
        <w:t>QUYỀN HẠN, CHỨC VỤ CỦA NGƯỜI KÝ</w:t>
      </w:r>
    </w:p>
    <w:p>
      <w:pPr>
        <w:jc w:val="both"/>
      </w:pPr>
      <w:r>
        <w:t>&lt;Chữ ký số của người có thẩm quyền và chữ ký số của cơ quan thuế&gt;</w:t>
      </w:r>
    </w:p>
    <w:p>
      <w:pPr>
        <w:jc w:val="both"/>
      </w:pPr>
      <w:r>
        <w:t>Họ và tên</w:t>
      </w:r>
    </w:p>
    <w:p>
      <w:pPr>
        <w:jc w:val="both"/>
      </w:pPr>
      <w:r>
        <w:t>Ghi chú:</w:t>
      </w:r>
    </w:p>
    <w:p>
      <w:pPr>
        <w:jc w:val="both"/>
      </w:pPr>
      <w:r>
        <w:t>Chữ in nghiêng trong dấu &lt;&gt; chỉ là giải thích hoặc ví dụ.</w:t>
      </w:r>
    </w:p>
    <w:p>
      <w:pPr>
        <w:jc w:val="both"/>
      </w:pPr>
      <w:r>
        <w:t>" " tại mẫu biểu này là một trong các hồ sơ sau: hồ sơ hoặc thông tin giải trình, bổ sung của người nộp thuế.</w:t>
      </w:r>
    </w:p>
    <w:p>
      <w:r>
        <w:rPr>
          <w:i/>
        </w:rPr>
        <w:t>Nguồn: Cơ sở dữ liệu quốc gia về văn bản pháp luật (Bộ Tư pháp). VietSmart Legal, legal.giangpham.asia/van-ban/168498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