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việc ban hành quy chế khu đô thị mới</w:t>
      </w:r>
    </w:p>
    <w:p>
      <w:pPr>
        <w:jc w:val="both"/>
      </w:pPr>
      <w:r>
        <w:t>_____________________</w:t>
      </w:r>
    </w:p>
    <w:p>
      <w:pPr>
        <w:jc w:val="both"/>
      </w:pPr>
      <w:r>
        <w:t>Căn cứ Luật Tổ chức Chính phủ ngày 25 tháng 12 năm 2001;</w:t>
      </w:r>
    </w:p>
    <w:p>
      <w:pPr>
        <w:jc w:val="both"/>
      </w:pPr>
      <w:r>
        <w:t>Theo đề nghị của Bộ trưởng Bộ Xây dựng,</w:t>
      </w:r>
    </w:p>
    <w:p>
      <w:pPr>
        <w:jc w:val="center"/>
      </w:pPr>
      <w:r>
        <w:rPr>
          <w:b/>
        </w:rPr>
        <w:t>NGHỊ ĐỊNH:</w:t>
      </w:r>
    </w:p>
    <w:p>
      <w:pPr>
        <w:jc w:val="both"/>
      </w:pPr>
      <w:r>
        <w:rPr>
          <w:b/>
        </w:rPr>
        <w:t>Điều 1. Ban hành kèm theo Nghị định này bản Quy chế khu đô thị mới. Các quy định trước đây về khu đô thị mới trái với Nghị định này đều bãi bỏ.</w:t>
      </w:r>
    </w:p>
    <w:p>
      <w:pPr>
        <w:jc w:val="both"/>
      </w:pPr>
      <w:r>
        <w:rPr>
          <w:b/>
        </w:rPr>
        <w:t>Điều 2. Nghị định này có hiệu lực thi hành sau 15 ngày, kể từ ngày đăng Công báo.</w:t>
      </w:r>
    </w:p>
    <w:p>
      <w:pPr>
        <w:jc w:val="both"/>
      </w:pPr>
      <w:r>
        <w:rPr>
          <w:b/>
        </w:rPr>
        <w:t>Điều 3. Bộ Xây dựng có trách nhiệm hướng dẫn, theo dõi và kiểm tra việc thực hiện Nghị định này, định kỳ hàng năm tổng hợp tình hình báo cáo Thủ tướng Chính phủ.</w:t>
      </w:r>
    </w:p>
    <w:p>
      <w:pPr>
        <w:jc w:val="both"/>
      </w:pPr>
      <w:r>
        <w:rPr>
          <w:b/>
        </w:rPr>
        <w:t>Điều 4.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r>
        <w:rPr>
          <w:i/>
        </w:rPr>
        <w:t>Nguồn: Cơ sở dữ liệu quốc gia về văn bản pháp luật (Bộ Tư pháp). VietSmart Legal, legal.giangpham.asia/van-ban/16832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