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"Quy định về việc vận tải hàng hoá trên đường sắt quốc gia"</w:t>
      </w:r>
    </w:p>
    <w:p>
      <w:pPr>
        <w:jc w:val="both"/>
      </w:pPr>
      <w:r>
        <w:t>____________</w:t>
      </w:r>
    </w:p>
    <w:p>
      <w:pPr>
        <w:jc w:val="both"/>
      </w:pPr>
      <w:r>
        <w:t>BỘ GIAO THÔNG VẬN TẢI</w:t>
      </w:r>
    </w:p>
    <w:p>
      <w:pPr>
        <w:jc w:val="both"/>
      </w:pPr>
      <w:r>
        <w:t>Căn cứ Luật Đường sắt ngày 14 tháng 6 năm 2005;</w:t>
      </w:r>
    </w:p>
    <w:p>
      <w:pPr>
        <w:jc w:val="both"/>
      </w:pPr>
      <w:r>
        <w:t>Căn cứ Nghị định số 34/2003/NĐ-CP ngày 04 tháng 4 năm 2003 của Chính phủ quy định chức năng, nhiệm vụ, quyền hạn và cơ cấu tổ chức của Bộ Giao thông vận tải;</w:t>
      </w:r>
    </w:p>
    <w:p>
      <w:pPr>
        <w:jc w:val="both"/>
      </w:pPr>
      <w:r>
        <w:t>Theo đề nghị của Vụ trưởng Vụ Vận tải, Cục trưởng Cục Đường sắt Việt Nam.</w:t>
      </w:r>
    </w:p>
    <w:p>
      <w:pPr>
        <w:jc w:val="center"/>
      </w:pPr>
      <w:r>
        <w:rPr>
          <w:b/>
        </w:rPr>
        <w:t>QUYẾT ĐỊNH:</w:t>
      </w:r>
    </w:p>
    <w:p>
      <w:pPr>
        <w:jc w:val="both"/>
      </w:pPr>
      <w:r>
        <w:rPr>
          <w:b/>
        </w:rPr>
        <w:t>Điều 1. Ban hành kèm theo Quyết định này “Quy định về việc vận tải hàng hóa trên đường sắt quốc gia”.</w:t>
      </w:r>
    </w:p>
    <w:p>
      <w:pPr>
        <w:jc w:val="both"/>
      </w:pPr>
      <w:r>
        <w:rPr>
          <w:b/>
        </w:rPr>
        <w:t>Điều 2. Quyết định này có hiệu lực thi hành sau 15 ngày, kể từ ngày đăng Công báo; thay thế Quyết định số 720/QĐ-VT ngày 25 tháng 4 năm 1990 của Bộ trưởng Bộ Giao thông vận tải và Bưu điện ban hành Thể lệ chuyên chở hàng hóa bằng Đường sắt Việt Nam.</w:t>
      </w:r>
    </w:p>
    <w:p>
      <w:pPr>
        <w:jc w:val="both"/>
      </w:pPr>
      <w:r>
        <w:rPr>
          <w:b/>
        </w:rPr>
        <w:t>Điều 3. Chánh Văn phòng, Chánh Thanh tra, Vụ trưởng các Vụ, Cục trưởng Cục Đường sắt Việt Nam, Chủ tịch Hội đồng quản trị và Tổng giám đốc Tổng công ty Đường sắt Việt Nam, tổ chức, cá nhân có liên quan chịu trách nhiệm thi hành Quyết định này./.</w:t>
      </w:r>
    </w:p>
    <w:p>
      <w:r>
        <w:rPr>
          <w:i/>
        </w:rPr>
        <w:t>Nguồn: Cơ sở dữ liệu quốc gia về văn bản pháp luật (Bộ Tư pháp). VietSmart Legal, legal.giangpham.asia/van-ban/16719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