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w:t>
      </w:r>
    </w:p>
    <w:p>
      <w:pPr>
        <w:jc w:val="both"/>
      </w:pPr>
      <w:r>
        <w:t>VÀ PHÁT TRIỂN NÔNG THÔN</w:t>
      </w:r>
    </w:p>
    <w:p>
      <w:pPr>
        <w:jc w:val="both"/>
      </w:pPr>
      <w:r>
        <w:t>CỘNG HÒA XÃ HỘI CHỦ NGHĨA VIỆT NAM</w:t>
      </w:r>
    </w:p>
    <w:p>
      <w:pPr>
        <w:jc w:val="both"/>
      </w:pPr>
      <w:r>
        <w:t>Độc lập – Tự do – Hạnh phúc</w:t>
      </w:r>
    </w:p>
    <w:p>
      <w:pPr>
        <w:jc w:val="both"/>
      </w:pPr>
      <w:r>
        <w:t>Số: 10/2006/QĐ-BNN</w:t>
      </w:r>
    </w:p>
    <w:p>
      <w:pPr>
        <w:jc w:val="both"/>
      </w:pPr>
      <w:r>
        <w:t>Hà Nội, ngày 10 tháng 02 năm 2006</w:t>
      </w:r>
    </w:p>
    <w:p>
      <w:pPr>
        <w:jc w:val="center"/>
      </w:pPr>
      <w:r>
        <w:rPr>
          <w:b/>
        </w:rPr>
        <w:t>QUYẾT ĐỊNH</w:t>
      </w:r>
    </w:p>
    <w:p>
      <w:pPr>
        <w:jc w:val="both"/>
      </w:pPr>
      <w:r>
        <w:t>Về việc Quy định thủ tục đăng ký sản xuất, nhập khẩu, lưu hành</w:t>
      </w:r>
    </w:p>
    <w:p>
      <w:pPr>
        <w:jc w:val="both"/>
      </w:pPr>
      <w:r>
        <w:t>thuốc thú y, nguyên liệu làm thuốc thú y, chế phẩm sinh học,</w:t>
      </w:r>
    </w:p>
    <w:p>
      <w:pPr>
        <w:jc w:val="both"/>
      </w:pPr>
      <w:r>
        <w:t>vi sinh vật, hoá chất dùng trong thú y</w:t>
      </w:r>
    </w:p>
    <w:p>
      <w:pPr>
        <w:jc w:val="both"/>
      </w:pPr>
      <w:r>
        <w:t>______________________</w:t>
      </w:r>
    </w:p>
    <w:p>
      <w:pPr>
        <w:jc w:val="both"/>
      </w:pPr>
      <w:r>
        <w:t>BỘ TRƯỞNG BỘ NÔNG NGHIỆP VÀ PHÁT TRIỂN NÔNG THÔN</w:t>
      </w:r>
    </w:p>
    <w:p>
      <w:pPr>
        <w:jc w:val="both"/>
      </w:pPr>
      <w:r>
        <w:t>Căn cứ Pháp lệnh Thú y ngày 29/4/2004 và Nghị định số 33/2005/NĐ-CP ngày 15/03/2005 của Chính phủ quy định chi tiết thi hành một số điều của Pháp lệnh Thú y;</w:t>
      </w:r>
    </w:p>
    <w:p>
      <w:pPr>
        <w:jc w:val="both"/>
      </w:pPr>
      <w:r>
        <w:t>Căn cứ Nghị định số 86/2003/NĐ-CP ngày 18/7/2003 của Chính phủ quy định chức năng, nhiệm vụ, quyền hạn và cơ cấu tổ chức của Bộ Nông nghiệp và Phát triển nông thôn;</w:t>
      </w:r>
    </w:p>
    <w:p>
      <w:pPr>
        <w:jc w:val="both"/>
      </w:pPr>
      <w:r>
        <w:t>Xét đề nghị của Cục trưởng Cục Thú y</w:t>
      </w:r>
    </w:p>
    <w:p>
      <w:pPr>
        <w:jc w:val="center"/>
      </w:pPr>
      <w:r>
        <w:rPr>
          <w:b/>
        </w:rPr>
        <w:t>QUYẾT ĐỊNH</w:t>
      </w:r>
    </w:p>
    <w:p>
      <w:pPr>
        <w:jc w:val="both"/>
      </w:pPr>
      <w:r>
        <w:rPr>
          <w:b/>
        </w:rPr>
        <w:t>Điều 1. Ban hành kèm theo Quyết định này "Quy định thủ tục đăng ký sản xuất, nhập khẩu, lưu hành thuốc thú y, nguyên liệu làm thuốc thú y, chế phẩm sinh học, vi sinh vật, hoá chất dùng trong thú y".</w:t>
      </w:r>
    </w:p>
    <w:p>
      <w:pPr>
        <w:jc w:val="both"/>
      </w:pPr>
      <w:r>
        <w:rPr>
          <w:b/>
        </w:rPr>
        <w:t>Điều 2. Quyết định này có hiệu lực sau 15 ngày kể từ ngày đăng Công báo Chính phủ. Những quy định trước đây trái với Quyết định này đều bãi bỏ.</w:t>
      </w:r>
    </w:p>
    <w:p>
      <w:pPr>
        <w:jc w:val="both"/>
      </w:pPr>
      <w:r>
        <w:rPr>
          <w:b/>
        </w:rPr>
        <w:t>Điều 3. Chánh văn phòng, Cục trưởng Cục Thú y, Thủ trưởng các đơn vị, tổ chức, cá nhân có liên quan chịu trách nhiệm thi hành Quyết định này./.</w:t>
      </w:r>
    </w:p>
    <w:p>
      <w:pPr>
        <w:jc w:val="both"/>
      </w:pPr>
      <w:r>
        <w:t>KT. BỘ TRƯỞNG</w:t>
      </w:r>
    </w:p>
    <w:p>
      <w:pPr>
        <w:jc w:val="both"/>
      </w:pPr>
      <w:r>
        <w:t>THỨ TRƯỞNG</w:t>
      </w:r>
    </w:p>
    <w:p>
      <w:pPr>
        <w:jc w:val="both"/>
      </w:pPr>
      <w:r>
        <w:t>(Đã ký)</w:t>
      </w:r>
    </w:p>
    <w:p>
      <w:pPr>
        <w:jc w:val="both"/>
      </w:pPr>
      <w:r>
        <w:t>Bùi Bá Bổng</w:t>
      </w:r>
    </w:p>
    <w:p>
      <w:r>
        <w:rPr>
          <w:i/>
        </w:rPr>
        <w:t>Nguồn: Cơ sở dữ liệu quốc gia về văn bản pháp luật (Bộ Tư pháp). VietSmart Legal, legal.giangpham.asia/van-ban/16547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