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công bố danh mục hàng cấm nhập khẩu theo quy định tại nghị định</w:t>
      </w:r>
    </w:p>
    <w:p>
      <w:pPr>
        <w:jc w:val="both"/>
      </w:pPr>
      <w:r>
        <w:t>số 12/2006/NĐ-CP ngày 23 tháng 01 năm 2006 của Chính phủ</w:t>
      </w:r>
    </w:p>
    <w:p>
      <w:pPr>
        <w:jc w:val="both"/>
      </w:pPr>
      <w:r>
        <w:t>________________________</w:t>
      </w:r>
    </w:p>
    <w:p>
      <w:pPr>
        <w:jc w:val="both"/>
      </w:pPr>
      <w:r>
        <w:t>BỘ TRƯỞNG BỘ CÔNG NGHIỆP</w:t>
      </w:r>
    </w:p>
    <w:p>
      <w:pPr>
        <w:jc w:val="both"/>
      </w:pPr>
      <w:r>
        <w:t>Căn cứ Nghị định số 55/2003/NĐ-CP ngày 28 tháng 5 năm 2003 của Chính phủ quy định chức năng, nhiệm vụ, quyền hạn và cơ cấu tổ chức của Bộ Công nghiệp;</w:t>
      </w:r>
    </w:p>
    <w:p>
      <w:pPr>
        <w:jc w:val="both"/>
      </w:pPr>
      <w:r>
        <w:t>Căn cứ Nghị định số 12/2006/NĐ-CP ngày 23 tháng 01 năm 2006 của Chính phủ quy định chi tiết thi hành Luật Thương mại về hoạt động mua bán hàng hoá quốc tế và các hoạt động đại lý mua, bán, gia công và quá cảnh hàng hóa với nước ngoài;</w:t>
      </w:r>
    </w:p>
    <w:p>
      <w:pPr>
        <w:jc w:val="both"/>
      </w:pPr>
      <w:r>
        <w:t>Theo đề nghị của Vụ trưởng Cơ khí, Luyện kim và Hoá chất,</w:t>
      </w:r>
    </w:p>
    <w:p>
      <w:pPr>
        <w:jc w:val="center"/>
      </w:pPr>
      <w:r>
        <w:rPr>
          <w:b/>
        </w:rPr>
        <w:t>QUYẾT ĐỊNH:</w:t>
      </w:r>
    </w:p>
    <w:p>
      <w:pPr>
        <w:jc w:val="both"/>
      </w:pPr>
      <w:r>
        <w:rPr>
          <w:b/>
        </w:rPr>
        <w:t>Điều 1. Công bố danh mục hàng cấm nhập khẩu là phương tiện đã qua sử dụng bao gồm xe đạp, xe hai bánh, ba bánh gắn máy theo quy định tại Nghị định số 12/2006/NĐ-CP ngày 23 tháng 01 năm 2006 của Chính phủ quy định chi tiết thi hành Luật Thương mại về hoạt động mua bán hàng hoá quốc tế và các hoạt động đại lý mua, bán, gia công và quá cảnh hàng hóa với nước ngoài (có danh mục kèm theo).</w:t>
      </w:r>
    </w:p>
    <w:p>
      <w:pPr>
        <w:jc w:val="both"/>
      </w:pPr>
      <w:r>
        <w:rPr>
          <w:b/>
        </w:rPr>
        <w:t>Điều 2 . Quyết định này có hiệu lực từ ngày 01 tháng 5 năm 2006.</w:t>
      </w:r>
    </w:p>
    <w:p>
      <w:pPr>
        <w:jc w:val="both"/>
      </w:pPr>
      <w:r>
        <w:rPr>
          <w:b/>
        </w:rPr>
        <w:t>Điều 3 . Các Bộ, cơ quan ngang Bộ, cơ quan thuộc Chính phủ, Uỷ ban nhân dân tỉnh, thành phố trực thuộc Trung ương và các tổ chức, cá nhân có liên quan chịu trách nhiệm thi hành Quyết định này./.</w:t>
      </w:r>
    </w:p>
    <w:p>
      <w:r>
        <w:rPr>
          <w:i/>
        </w:rPr>
        <w:t>Nguồn: Cơ sở dữ liệu quốc gia về văn bản pháp luật (Bộ Tư pháp). VietSmart Legal, legal.giangpham.asia/van-ban/16335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