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THƯƠNG MẠI</w:t>
      </w:r>
    </w:p>
    <w:p>
      <w:pPr>
        <w:jc w:val="both"/>
      </w:pPr>
      <w:r>
        <w:t>CỘNG HÒA XÃ HỘI CHỦ NGHĨA VIỆT NAM</w:t>
      </w:r>
    </w:p>
    <w:p>
      <w:pPr>
        <w:jc w:val="both"/>
      </w:pPr>
      <w:r>
        <w:t>Độc lập – Tự do – Hạnh phúc</w:t>
      </w:r>
    </w:p>
    <w:p>
      <w:pPr>
        <w:jc w:val="both"/>
      </w:pPr>
      <w:r>
        <w:t>Số: 14/2006/QĐ-BTM</w:t>
      </w:r>
    </w:p>
    <w:p>
      <w:pPr>
        <w:jc w:val="both"/>
      </w:pPr>
      <w:r>
        <w:t>Ngày 22 tháng 3 năm 2006</w:t>
      </w:r>
    </w:p>
    <w:p>
      <w:pPr>
        <w:jc w:val="center"/>
      </w:pPr>
      <w:r>
        <w:rPr>
          <w:b/>
        </w:rPr>
        <w:t>QUYẾT ĐỊNH</w:t>
      </w:r>
    </w:p>
    <w:p>
      <w:pPr>
        <w:jc w:val="both"/>
      </w:pPr>
      <w:r>
        <w:t>Về việc ban hành Quy định các mẫu ấn chỉ và việc sử dụng,</w:t>
      </w:r>
    </w:p>
    <w:p>
      <w:pPr>
        <w:jc w:val="both"/>
      </w:pPr>
      <w:r>
        <w:t>quản lý ấn chỉ Quản lý thị trường</w:t>
      </w:r>
    </w:p>
    <w:p>
      <w:pPr>
        <w:jc w:val="both"/>
      </w:pPr>
      <w:r>
        <w:t>_____________</w:t>
      </w:r>
    </w:p>
    <w:p>
      <w:pPr>
        <w:jc w:val="both"/>
      </w:pPr>
      <w:r>
        <w:t>BỘ TRƯỞNG BỘ THƯƠNG MẠI</w:t>
      </w:r>
    </w:p>
    <w:p>
      <w:pPr>
        <w:jc w:val="both"/>
      </w:pPr>
      <w:r>
        <w:t>Căn cứ Pháp lệnh xử lý vi phạm hành chính ngày 02/7/2002 và Nghị định số 134/2003/NĐ-CP ngày 14/11/2003 của Chính phủ quy định chi tiết thi hành một số điều của Pháp lệnh Xử lý vi phạm hành chính;</w:t>
      </w:r>
    </w:p>
    <w:p>
      <w:pPr>
        <w:jc w:val="both"/>
      </w:pPr>
      <w:r>
        <w:t>Căn cứ Nghị định số 29/2004/NĐ-CP ngày 16/01/2004 của Chính phủ quy định chức năng, nhiệm vụ, quyền hạn và cơ cấu tổ chức của Bộ Thương mại;</w:t>
      </w:r>
    </w:p>
    <w:p>
      <w:pPr>
        <w:jc w:val="both"/>
      </w:pPr>
      <w:r>
        <w:t>Căn cứ Nghị định số 10/CP ngày 23/01/1995 của Chính phủ quy định chức năng, nhiệm vụ, quyền hạn và tổ chức của Quản lý thị trường;</w:t>
      </w:r>
    </w:p>
    <w:p>
      <w:pPr>
        <w:jc w:val="both"/>
      </w:pPr>
      <w:r>
        <w:t>Theo đề nghị của Cục trưởng Cục Quản lý thị trường,</w:t>
      </w:r>
    </w:p>
    <w:p>
      <w:pPr>
        <w:jc w:val="center"/>
      </w:pPr>
      <w:r>
        <w:rPr>
          <w:b/>
        </w:rPr>
        <w:t>QUYẾT ĐỊNH</w:t>
      </w:r>
    </w:p>
    <w:p>
      <w:pPr>
        <w:jc w:val="both"/>
      </w:pPr>
      <w:r>
        <w:rPr>
          <w:b/>
        </w:rPr>
        <w:t>Điều 1. Ban hành kèm theo Quyết định này Qui định các mẫu ấn chỉ và việc sử dụng, quản lý ấn chỉ Quản lý thị trường.</w:t>
      </w:r>
    </w:p>
    <w:p>
      <w:pPr>
        <w:jc w:val="both"/>
      </w:pPr>
      <w:r>
        <w:rPr>
          <w:b/>
        </w:rPr>
        <w:t>Điều 2. Quyết định này có hiệu lực thi hành sau 15 ngày kể từ ngày đăng công báo và thay thế Quyết định số 424/2003/QĐ-BTM ngày 11/4/2003 của Bộ trưởng Bộ Thương mại về quản lý và sử dụng ấn chỉ Quản lý thị trường.</w:t>
      </w:r>
    </w:p>
    <w:p>
      <w:pPr>
        <w:jc w:val="both"/>
      </w:pPr>
      <w:r>
        <w:rPr>
          <w:b/>
        </w:rPr>
        <w:t>Điều 3. Chánh Văn phòng Bộ, Cục trưởng Cục Quản lý thị trường, Thủ trưởng các đơn vị thuộc cơ quan Bộ Thương mại, Giám đốc các Sở Thương mại (Sở Thương mại - Du lịch), Chi cục trưởng Chi cục Quản lý thị trường các tỉnh, thành phố trực thuộc trung ương chịu trách nhiệm thi hành Quyết định này./.</w:t>
      </w:r>
    </w:p>
    <w:p>
      <w:pPr>
        <w:jc w:val="both"/>
      </w:pPr>
      <w:r>
        <w:t>KT. BỘ TRƯỞNG</w:t>
      </w:r>
    </w:p>
    <w:p>
      <w:pPr>
        <w:jc w:val="both"/>
      </w:pPr>
      <w:r>
        <w:t>THỨ TRƯỞNG</w:t>
      </w:r>
    </w:p>
    <w:p>
      <w:pPr>
        <w:jc w:val="both"/>
      </w:pPr>
      <w:r>
        <w:t>(Đã ký)</w:t>
      </w:r>
    </w:p>
    <w:p>
      <w:pPr>
        <w:jc w:val="both"/>
      </w:pPr>
      <w:r>
        <w:t>Phan Thế Ruệ</w:t>
      </w:r>
    </w:p>
    <w:p>
      <w:r>
        <w:rPr>
          <w:i/>
        </w:rPr>
        <w:t>Nguồn: Cơ sở dữ liệu quốc gia về văn bản pháp luật (Bộ Tư pháp). VietSmart Legal, legal.giangpham.asia/van-ban/16288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