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02/2023/TT-BCT</w:t>
      </w:r>
    </w:p>
    <w:p>
      <w:pPr>
        <w:jc w:val="both"/>
      </w:pPr>
      <w:r>
        <w:t>Hà Nội, ngày 19 tháng 01 năm 2023</w:t>
      </w:r>
    </w:p>
    <w:p>
      <w:pPr>
        <w:jc w:val="center"/>
      </w:pPr>
      <w:r>
        <w:rPr>
          <w:b/>
        </w:rPr>
        <w:t>THÔNG TƯ</w:t>
      </w:r>
    </w:p>
    <w:p>
      <w:pPr>
        <w:jc w:val="both"/>
      </w:pPr>
      <w:r>
        <w:t>Bãi bỏ một số quy định tại Thông tư số 57/2020/TT-BCT ngày 31 tháng 12 năm 2020</w:t>
      </w:r>
    </w:p>
    <w:p>
      <w:pPr>
        <w:jc w:val="both"/>
      </w:pPr>
      <w:r>
        <w:t>của Bộ trưởng Bộ Công Thương quy định phương pháp xác định giá phát điện,</w:t>
      </w:r>
    </w:p>
    <w:p>
      <w:pPr>
        <w:jc w:val="both"/>
      </w:pPr>
      <w:r>
        <w:t>hợp đồng mua bán điện</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Luật Điện lực ngày 03 tháng 12 năm 2004; Luật sửa đổi, bổ sung một số điều của Luật Điện lực ngày 20 tháng 11 năm 2012;</w:t>
      </w:r>
    </w:p>
    <w:p>
      <w:pPr>
        <w:jc w:val="both"/>
      </w:pPr>
      <w:r>
        <w:t>Căn cứ Nghị định số 96/2022/NĐ-CP ngày 29 tháng 11 năm 2022 của Chính phủ quy định chức năng, nhiệm vụ, quyền hạn và cơ cấu tổ chức của Bộ Công Thương;</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bãi bỏ một số quy định tại Thông tư số 57/2020/TT-BCT ngày 31 tháng 12 năm 2020 của Bộ trưởng Bộ Công Thương quy định phương pháp xác định giá phát điện, hợp đồng mua bán điện.</w:t>
      </w:r>
    </w:p>
    <w:p>
      <w:pPr>
        <w:jc w:val="both"/>
      </w:pPr>
      <w:r>
        <w:rPr>
          <w:b/>
        </w:rPr>
        <w:t>Điều 1. Bãi bỏ một số quy định tại Thông tư số 57/2020/TT-BCT ngày 31 tháng 12 năm 2020 của Bộ trưởng Bộ Công Thương quy định phương pháp xác định giá phát điện, hợp đồng mua bán điện</w:t>
      </w:r>
    </w:p>
    <w:p>
      <w:pPr>
        <w:jc w:val="both"/>
      </w:pPr>
      <w:r>
        <w:t>1. Bãi bỏ khoản 1 Điều 17.</w:t>
      </w:r>
    </w:p>
    <w:p>
      <w:pPr>
        <w:jc w:val="both"/>
      </w:pPr>
      <w:r>
        <w:t>2. Bãi bỏ cụm từ “ trước ngày khởi công xây dựng công trình ” tại khoản 1 Điều 25.</w:t>
      </w:r>
    </w:p>
    <w:p>
      <w:pPr>
        <w:jc w:val="both"/>
      </w:pPr>
      <w:r>
        <w:t>3. Bãi bỏ đoạn “Đối với khí thiên nhiên khai thác trong nước qua hệ thống đường ống thu gom, vận chuyển, phân phối có tính độc quyền tự nhiên thì cước phí thu gom, vận chuyển, phân phối khí phải được cơ quan nhà nước có thẩm quyền phê duyệt.” và “Trong trường hợp hạng mục tồn trữ, phân phối khí có tính độc quyền tự nhiên, cước phí tồn trữ, tái hóa và phân phối khí phải được cơ quan nhà nước có thẩm quyền phê duyệt.” tại khoản 1 Điều 26.</w:t>
      </w:r>
    </w:p>
    <w:p>
      <w:pPr>
        <w:jc w:val="both"/>
      </w:pPr>
      <w:r>
        <w:t>4. Bãi bỏ khoản 5 Điều 28.</w:t>
      </w:r>
    </w:p>
    <w:p>
      <w:pPr>
        <w:jc w:val="both"/>
      </w:pPr>
      <w:r>
        <w:rPr>
          <w:b/>
        </w:rPr>
        <w:t>Điều 2. Điều khoản thi hành</w:t>
      </w:r>
    </w:p>
    <w:p>
      <w:pPr>
        <w:jc w:val="both"/>
      </w:pPr>
      <w:r>
        <w:t>Thông tư này có hiệu lực từ ngày 19 tháng 01 năm 2023.</w:t>
      </w:r>
    </w:p>
    <w:p>
      <w:pPr>
        <w:jc w:val="both"/>
      </w:pPr>
      <w:r>
        <w:rPr>
          <w:b/>
        </w:rPr>
        <w:t>Điều 3. Trách nhiệm thi hành</w:t>
      </w:r>
    </w:p>
    <w:p>
      <w:pPr>
        <w:jc w:val="both"/>
      </w:pPr>
      <w:r>
        <w:t>Thủ trưởng các đơn vị trực thuộc Bộ, Ủy ban nhân dân các tỉnh, thành phố trực thuộc Trung ương và các tổ chức, cá nhân có liên quan chịu trách nhiệm tổ chức thực hiện Thông tư này./.</w:t>
      </w:r>
    </w:p>
    <w:p>
      <w:pPr>
        <w:jc w:val="both"/>
      </w:pPr>
      <w:r>
        <w:t>KT.BỘ TRƯỞNG</w:t>
      </w:r>
    </w:p>
    <w:p>
      <w:pPr>
        <w:jc w:val="both"/>
      </w:pPr>
      <w:r>
        <w:t>THỨ TRƯỞNG</w:t>
      </w:r>
    </w:p>
    <w:p>
      <w:pPr>
        <w:jc w:val="both"/>
      </w:pPr>
      <w:r>
        <w:t>(đã ký)</w:t>
      </w:r>
    </w:p>
    <w:p>
      <w:pPr>
        <w:jc w:val="both"/>
      </w:pPr>
      <w:r>
        <w:t>Đặng Hoàng An</w:t>
      </w:r>
    </w:p>
    <w:p>
      <w:r>
        <w:rPr>
          <w:i/>
        </w:rPr>
        <w:t>Nguồn: Cơ sở dữ liệu quốc gia về văn bản pháp luật (Bộ Tư pháp). VietSmart Legal, legal.giangpham.asia/van-ban/160064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