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PHÁT TRIỂN NÔNG THÔN</w:t>
      </w:r>
    </w:p>
    <w:p>
      <w:pPr>
        <w:jc w:val="both"/>
      </w:pPr>
      <w:r>
        <w:t>CỘNG HOÀ XÃ HỘI CHỦ NGHĨA VIỆT NAM</w:t>
      </w:r>
    </w:p>
    <w:p>
      <w:pPr>
        <w:jc w:val="both"/>
      </w:pPr>
      <w:r>
        <w:t>Độc lập - Tự do - Hạnh phúc</w:t>
      </w:r>
    </w:p>
    <w:p>
      <w:pPr>
        <w:jc w:val="both"/>
      </w:pPr>
      <w:r>
        <w:t>Số: 49/2006/QĐ-BNN</w:t>
      </w:r>
    </w:p>
    <w:p>
      <w:pPr>
        <w:jc w:val="both"/>
      </w:pPr>
      <w:r>
        <w:t>Hà Nội, ngày 13 tháng 06 năm 2006</w:t>
      </w:r>
    </w:p>
    <w:p>
      <w:pPr>
        <w:jc w:val="center"/>
      </w:pPr>
      <w:r>
        <w:rPr>
          <w:b/>
        </w:rPr>
        <w:t>QUYẾT ĐỊNH</w:t>
      </w:r>
    </w:p>
    <w:p>
      <w:pPr>
        <w:jc w:val="both"/>
      </w:pPr>
      <w:r>
        <w:t>Ban hành quy định về đánh dấu gia súc vận chuyển trong nước,</w:t>
      </w:r>
    </w:p>
    <w:p>
      <w:pPr>
        <w:jc w:val="both"/>
      </w:pPr>
      <w:r>
        <w:t>xuất khẩu và nhập khẩu</w:t>
      </w:r>
    </w:p>
    <w:p>
      <w:pPr>
        <w:jc w:val="both"/>
      </w:pPr>
      <w:r>
        <w:t>BỘ TRƯỞNG BỘ NÔNG NGHIỆP VÀ PHÁT TRIỂN NÔNG THÔN</w:t>
      </w:r>
    </w:p>
    <w:p>
      <w:pPr>
        <w:jc w:val="both"/>
      </w:pPr>
      <w:r>
        <w:t>Căn cứ Pháp lệnh Thú y ngày 29 tháng 4 năm 2004;</w:t>
      </w:r>
    </w:p>
    <w:p>
      <w:pPr>
        <w:jc w:val="both"/>
      </w:pPr>
      <w:r>
        <w:t>Căn cứ Nghị định số 33 /2005/NĐ-CP ngày 15 tháng 3 năm 2005 của Chính phủ quy định chi tiết thi hành một số điều của Pháp lệnh Thú y;</w:t>
      </w:r>
    </w:p>
    <w:p>
      <w:pPr>
        <w:jc w:val="both"/>
      </w:pPr>
      <w:r>
        <w:t>Căn cứ Nghị định số 86/2003/NĐ-CP ngày 18 tháng 7 năm 2003 của Chính phủ quy định chức năng, nhiệm vụ, quyền hạn và cơ cấu tổ chức của Bộ Nông nghiệp và Phát triển nông thôn;</w:t>
      </w:r>
    </w:p>
    <w:p>
      <w:pPr>
        <w:jc w:val="both"/>
      </w:pPr>
      <w:r>
        <w:t>Theo đề nghị của Cục trưởng Cục Thú y.</w:t>
      </w:r>
    </w:p>
    <w:p>
      <w:pPr>
        <w:jc w:val="center"/>
      </w:pPr>
      <w:r>
        <w:rPr>
          <w:b/>
        </w:rPr>
        <w:t>QUYẾT ĐỊNH</w:t>
      </w:r>
    </w:p>
    <w:p>
      <w:pPr>
        <w:jc w:val="both"/>
      </w:pPr>
      <w:r>
        <w:rPr>
          <w:b/>
        </w:rPr>
        <w:t>Điều 1. Ban hành kèm theo Quyết định này “Quy định về đánh dấu gia súc vận chuyển trong nước, xuất khẩu và nhập khẩu”.</w:t>
      </w:r>
    </w:p>
    <w:p>
      <w:pPr>
        <w:jc w:val="both"/>
      </w:pPr>
      <w:r>
        <w:rPr>
          <w:b/>
        </w:rPr>
        <w:t>Điều 2. Quyết định này có hiệu lực sau 15 ngày kể từ ngày đăng Công báo Chính phủ.</w:t>
      </w:r>
    </w:p>
    <w:p>
      <w:pPr>
        <w:jc w:val="both"/>
      </w:pPr>
      <w:r>
        <w:rPr>
          <w:b/>
        </w:rPr>
        <w:t>Điều 3. Chánh văn phòng Bộ, Cục trưởng Cục Thú y, Thủ trưởng các đơn vị, các tổ chức, cá nhân có liên quan chịu trách nhiệm thi hành Quyết định này./.</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legal.giangpham.asia/van-ban/15865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