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132/2004/TT-BTC</w:t>
      </w:r>
    </w:p>
    <w:p>
      <w:pPr>
        <w:jc w:val="both"/>
      </w:pPr>
      <w:r>
        <w:t>Hà Nội, ngày 30 tháng 12 năm 2004</w:t>
      </w:r>
    </w:p>
    <w:p>
      <w:pPr>
        <w:jc w:val="center"/>
      </w:pPr>
      <w:r>
        <w:rPr>
          <w:b/>
        </w:rPr>
        <w:t>THÔNG TƯ</w:t>
      </w:r>
    </w:p>
    <w:p>
      <w:pPr>
        <w:jc w:val="both"/>
      </w:pPr>
      <w:r>
        <w:t>Hướng dẫn chế độ thu, nộp, quản lý và sử dụng phí,</w:t>
      </w:r>
    </w:p>
    <w:p>
      <w:pPr>
        <w:jc w:val="both"/>
      </w:pPr>
      <w:r>
        <w:t>lệ phí sở hữu công nghiệp</w:t>
      </w:r>
    </w:p>
    <w:p>
      <w:pPr>
        <w:jc w:val="both"/>
      </w:pPr>
      <w:r>
        <w:t>Căn cứ Nghị định số 57/2002/NĐ-CP ngày 03/06/2002 của Chính phủ quy định chi tiết thi hành Pháp lệnh Phí và lệ phí;</w:t>
      </w:r>
    </w:p>
    <w:p>
      <w:pPr>
        <w:jc w:val="both"/>
      </w:pPr>
      <w:r>
        <w:t>Căn cứ Nghị định số 63/CP ngày 24/10/1996 của Chính phủ quy định chi tiết về sở hữu công nghiệp, Nghị định số 06/2001/NĐ-CP ngày 01/02/2001 sửa đổi, bổ sung một số Điều của Nghị định số 63/CP ngày 24/10/1996 của Chính phủ;</w:t>
      </w:r>
    </w:p>
    <w:p>
      <w:pPr>
        <w:jc w:val="both"/>
      </w:pPr>
      <w:r>
        <w:t>Căn cứ Nghị định số 42/2003/NĐ-CP ngày 02/05/2003 của Chính phủ về bảo hộ quyền sở hữu công nghiệp đối với thiết kế bố trí mạch tích hợp bán dẫn;</w:t>
      </w:r>
    </w:p>
    <w:p>
      <w:pPr>
        <w:jc w:val="both"/>
      </w:pPr>
      <w:r>
        <w:t>Bộ Tài chính hướng dẫn chế độ thu, nộp, quản lý và sử dụng phí, lệ phí sở hữu công nghiệp như sau:</w:t>
      </w:r>
    </w:p>
    <w:p>
      <w:pPr>
        <w:jc w:val="both"/>
      </w:pPr>
      <w:r>
        <w:t>I. ĐỐI TƯỢNG ÁP DỤNG .</w:t>
      </w:r>
    </w:p>
    <w:p>
      <w:pPr>
        <w:jc w:val="both"/>
      </w:pPr>
      <w:r>
        <w:t>Tổ chức, cá nhân Việt Nam và nước ngoài nộp đơn yêu cầu cơ quan quản lý Nhà nước về sở hữu trí tuệ tiến hành các công việc hay cung cấp các dịch vụ yêu cầu bảo hộ quyền sở hữu công nghiệp quy định chi tiết tại Biểu mức thu phí, lệ phí sở hữu công nghiệp ban hành kèm theo Thông tư này, phải nộp phí, lệ phí theo quy định tại Thông tư này.</w:t>
      </w:r>
    </w:p>
    <w:p>
      <w:pPr>
        <w:jc w:val="both"/>
      </w:pPr>
      <w:r>
        <w:t>II. MỨC THU PHÍ, LỆ PHÍ</w:t>
      </w:r>
    </w:p>
    <w:p>
      <w:pPr>
        <w:jc w:val="both"/>
      </w:pPr>
      <w:r>
        <w:t>1. Mức thu phí, lệ phí sở hữu công nghiệp được quy định tại Biểu mức thu phí, lệ phí sở hữu công nghiệp ban hành kèm theo Thông tư này.</w:t>
      </w:r>
    </w:p>
    <w:p>
      <w:pPr>
        <w:jc w:val="both"/>
      </w:pPr>
      <w:r>
        <w:t>2. Mức thu phí, lệ phí quy định tại Biểu mức thu phí, lệ phí sở hữu công nghiệp ban hành kèm theo Thông tư này đã bao gồm tất cả các chi phí liên quan như: chi phí in hoặc mua mẫu đơn, tiếp nhận đơn, thẩm định (xét nghiệm), in (mua) văn bằng hoặc giấy chứng nhận, vào sổ đăng ký quốc gia và các chi phí liên quan khác.</w:t>
      </w:r>
    </w:p>
    <w:p>
      <w:pPr>
        <w:jc w:val="both"/>
      </w:pPr>
      <w:r>
        <w:t>III. TỔ CHỨC THU, NỘP, QUẢN LÝ VÀ SỬ DỤNG PHÍ, LỆ PHÍ SỞ HỮU CÔNG NGHIỆP</w:t>
      </w:r>
    </w:p>
    <w:p>
      <w:pPr>
        <w:jc w:val="both"/>
      </w:pPr>
      <w:r>
        <w:t>1. Cơ quan tổ chức thu phí, lệ phí.</w:t>
      </w:r>
    </w:p>
    <w:p>
      <w:pPr>
        <w:jc w:val="both"/>
      </w:pPr>
      <w:r>
        <w:t>Cơ quan quản lý Nhà nước về Sở hữu trí tuệ có nhiệm vụ tổ chức thu, nộp và quản lý phí, lệ phí thu được theo quy định tại Thông tư này (dưới đây gọi tắt là cơ quan thu phí, lệ phí).</w:t>
      </w:r>
    </w:p>
    <w:p>
      <w:pPr>
        <w:jc w:val="both"/>
      </w:pPr>
      <w:r>
        <w:t>2. Thủ tục thu, nộp phí, lệ phí.</w:t>
      </w:r>
    </w:p>
    <w:p>
      <w:pPr>
        <w:jc w:val="both"/>
      </w:pPr>
      <w:r>
        <w:t>a) Đối tượng nộp phí, lệ phí phải nộp một lần toàn bộ số tiền phí, lệ phí theo mức thu quy định tại Biểu mức thu phí, lệ phí ban hành kèm theo Thông tư này ngay khi nộp đơn, hồ sơ yêu cầu cơ quan thu phí, lệ phí thực hiện các công việc hoặc cung cấp các dịch vụ tương ứng.</w:t>
      </w:r>
    </w:p>
    <w:p>
      <w:pPr>
        <w:jc w:val="both"/>
      </w:pPr>
      <w:r>
        <w:t>b) Khi nộp phí, lệ phí, đối tượng nộp phí, lệ phí có quyền yêu cầu cơ quan thu phí, lệ phí lập và cấp biên lai thu phí, lệ phí đối với tiền phí, lệ phí cho đối tượng nộp phí, lệ phí, trong đó ghi đúng số tiền thực tế đã nộp.</w:t>
      </w:r>
    </w:p>
    <w:p>
      <w:pPr>
        <w:jc w:val="both"/>
      </w:pPr>
      <w:r>
        <w:t>c) Phí, lệ phí quy định tại Thông tư này được thu bằng đồng Việt Nam.</w:t>
      </w:r>
    </w:p>
    <w:p>
      <w:pPr>
        <w:jc w:val="both"/>
      </w:pPr>
      <w:r>
        <w:t>d) Cơ quan thu phí, lệ phí được mở tài khoản "tạm giữ tiền phí, lệ phí" tại Kho bạc nhà nước nơi thu, nộp để theo dõi, quản lý tiền phí, lệ phí thu được. Hàng ngày, lập bảng kê, tạm gửi số tiền phí, lệ phí thu được vào tài khoản tạm giữ tiền phí, lệ phí và phải tổ chức hạch toán riêng khoản thu này theo chế độ kế toán áp dụng đối với đơn vị hành chính sự nghiệp có thu.</w:t>
      </w:r>
    </w:p>
    <w:p>
      <w:pPr>
        <w:jc w:val="both"/>
      </w:pPr>
      <w:r>
        <w:t>3. Quản lý và sử dụng phí, lệ phí.</w:t>
      </w:r>
    </w:p>
    <w:p>
      <w:pPr>
        <w:jc w:val="both"/>
      </w:pPr>
      <w:r>
        <w:t>a) Phí, lệ phí sở hữu công nghiệp thu được theo quy định tại Thông tư này là khoản thu thuộc ngân sách Nhà nước và không phải chịu thuế.</w:t>
      </w:r>
    </w:p>
    <w:p>
      <w:pPr>
        <w:jc w:val="both"/>
      </w:pPr>
      <w:r>
        <w:t>b) Định kỳ mỗi tháng một lần, cơ quan thu phí, lệ phí phải kê khai, làm thủ tục nộp 50% tổng số tiền phí, lệ phí thu được trong kỳ vào ngân sách Nhà nước theo chương, loại, khoản, mục thuộc Mục lục ngân sách Nhà nước hiện hành.</w:t>
      </w:r>
    </w:p>
    <w:p>
      <w:pPr>
        <w:jc w:val="both"/>
      </w:pPr>
      <w:r>
        <w:t>c) Cơ quan thu phí, lệ phí được trích 50% tổng số tiền phí, lệ phí thu được trong tháng trước khi nộp ngân sách Nhà nước, để trang trải chi phí cho việc thu phí, lệ phí theo những nội dung, công việc quy định tại tiết d dưới đây.</w:t>
      </w:r>
    </w:p>
    <w:p>
      <w:pPr>
        <w:jc w:val="both"/>
      </w:pPr>
      <w:r>
        <w:t>d) Phần phí, lệ phí được trích nêu trên, cơ quan thu phí, lệ phí có trách nhiệm quản lý để chi cho các hoạt động của đơn vị để thực hiện các công việc, dịch vụ được thu phí, lệ phí; bao gồm các khoản chi sau đây:</w:t>
      </w:r>
    </w:p>
    <w:p>
      <w:pPr>
        <w:jc w:val="both"/>
      </w:pPr>
      <w:r>
        <w:t>(i) Chi trả các khoản tiền lương hoặc tiền công, các khoản phụ cấp, thù lao, các khoản đóng góp theo tiền lương, tiền công cho lao động theo chế độ hiện hành; trong đó mức lương tối thiểu không quá mức tiền lương tối thiểu do Nhà nước quy định đối với đơn vị sự nghiệp có thu;</w:t>
      </w:r>
    </w:p>
    <w:p>
      <w:pPr>
        <w:jc w:val="both"/>
      </w:pPr>
      <w:r>
        <w:t>(ii) Chi sửa chữa, duy tu, bảo dưỡng tài sản, máy móc, trang thiết bị, phương tiện làm việc; Chi mua công nghệ, kể cả quyền sử dụng công nghệ được bảo hộ sở hữu trí tuệ; Chi phí cho việc thiết lập, quản lý và tổ chức khai thác mạng lưới các cơ sở dữ liệu thông tin về sở hữu trí tuệ;</w:t>
      </w:r>
    </w:p>
    <w:p>
      <w:pPr>
        <w:jc w:val="both"/>
      </w:pPr>
      <w:r>
        <w:t>(iii) Chi mua sắm vật tư, nguyên liệu như văn phòng phẩm, vật tư văn phòng, điện thoại, điện, nước, xăng xe, công tác phí, công vụ phí và các khoản chi khác như in ấn, mua các biểu mẫu, chứng chỉ, văn bằng bảo hộ và các ấn phẩm khác;</w:t>
      </w:r>
    </w:p>
    <w:p>
      <w:pPr>
        <w:jc w:val="both"/>
      </w:pPr>
      <w:r>
        <w:t>(iv) Chi phí thuê dịch vụ bên ngoài phục vụ các công việc quản lý và phát triển hoạt động, như: thuê cơ sở vật chất, văn phòng làm việc, thuê khoán chuyên môn, thuê dịch vụ tra cứu, cung cấp thông tin, xét nghiệm sáng chế của của các cơ quan sở hữu trí tuệ quốc gia hoặc quốc tế;</w:t>
      </w:r>
    </w:p>
    <w:p>
      <w:pPr>
        <w:jc w:val="both"/>
      </w:pPr>
      <w:r>
        <w:t>(v) Chi phí đào tạo, bồi dưỡng, tập huấn trong nước và ngoài nước về chuyên môn, nghiệp vụ sở hữu trí tuệ; chi phí tổ chức phổ biến, tuyên truyền, hướng dẫn pháp luật, chính sách, chiến lược, quy hoạch, kế hoạch về sở hữu trí tuệ; chi phí xây dựng và thực hiện đề tài, đề án thuộc nhiệm vụ nghiên cứu thường xuyên nhằm phát triển hệ thống sở hữu trí tuệ, nâng cao năng lực chuyên môn, nghiệp vụ sở hữu trí tuệ;</w:t>
      </w:r>
    </w:p>
    <w:p>
      <w:pPr>
        <w:jc w:val="both"/>
      </w:pPr>
      <w:r>
        <w:t>(vi) Chi phí thực hiện dịch vụ phục vụ việc giải quyết các tranh chấp, khiếu kiện về sở hữu công nghiệp và tranh chấp, khiếu kiện thương mại liên quan đến sở hữu công nghiệp;</w:t>
      </w:r>
    </w:p>
    <w:p>
      <w:pPr>
        <w:jc w:val="both"/>
      </w:pPr>
      <w:r>
        <w:t>(vii) Trích quỹ khen thưởng, quỹ phúc lợi cho cán bộ, nhân viên trong đơn vị theo hướng dẫn tại Thông tư số 63/2002/TT-BTC ngày 24/07/2002 của Bộ Tài chính hướng dẫn thực hiện các quy định pháp luật về phí và lệ phí.</w:t>
      </w:r>
    </w:p>
    <w:p>
      <w:pPr>
        <w:jc w:val="both"/>
      </w:pPr>
      <w:r>
        <w:t>đ) Số tiền phí, lệ phí được trích để lại trong năm nếu chưa chi hết thì được chuyển sang năm sau để tiếp tục chi tiêu theo chế độ quy định.</w:t>
      </w:r>
    </w:p>
    <w:p>
      <w:pPr>
        <w:jc w:val="both"/>
      </w:pPr>
      <w:r>
        <w:t>IV. TỔ CHỨC THỰC HIỆN</w:t>
      </w:r>
    </w:p>
    <w:p>
      <w:pPr>
        <w:jc w:val="both"/>
      </w:pPr>
      <w:r>
        <w:t>1. Cục Thuế các tỉnh, thành phố trực thuộc Trung ương có trách nhiệm hướng dẫn, đôn đốc và kiểm tra cơ quan thu phí, lệ phí thực hiện theo hướng dẫn tại Thông tư này và pháp luật về phí và lệ phí hiện hành.</w:t>
      </w:r>
    </w:p>
    <w:p>
      <w:pPr>
        <w:jc w:val="both"/>
      </w:pPr>
      <w:r>
        <w:t>2. Cơ quan thu phí, lệ phí có trách nhiệm:</w:t>
      </w:r>
    </w:p>
    <w:p>
      <w:pPr>
        <w:jc w:val="both"/>
      </w:pPr>
      <w:r>
        <w:t>a) Hàng năm, lập dự toán thu, chi cùng với dự toán thu, chi tài chính của đơn vị theo đúng hướng dẫn tại điểm 4, phần C, mục III Thông tư số 63/2002/TT-BTC ngày 24/07/2002 của Bộ Tài chính hướng dẫn thực hiện các quy định pháp luật về phí và lệ phí;</w:t>
      </w:r>
    </w:p>
    <w:p>
      <w:pPr>
        <w:jc w:val="both"/>
      </w:pPr>
      <w:r>
        <w:t>b) Đăng ký, kê khai, thu, nộp, quyết toán phí, lệ phí; hạch toán kế toán phí, lệ phí và công khai chế độ phí, lệ phí theo đúng hướng dẫn tại phần C, D và Đ, mục IV Thông tư số 63/2002/TT-BTC ngày 24/07/2002 của Bộ Tài chính hướng dẫn thực hiện các quy định pháp luật về phí và lệ phí.</w:t>
      </w:r>
    </w:p>
    <w:p>
      <w:pPr>
        <w:jc w:val="both"/>
      </w:pPr>
      <w:r>
        <w:t>3. Thông tư này có hiệu lực sau 15 ngày, kể từ ngày đăng Công báo, áp dụng đối với các đơn yêu cầu bảo hộ về sở hữu trí tuệ kể từ ngày Thông tư này có hiệu lực và thay thế Thông tư số 23/TC-TCT ngày 09/05/1997 của Bộ Tài chính hướng dẫn việc thu, nộp và sử dụng phí và lệ phí sở hữu công nghiệp.</w:t>
      </w:r>
    </w:p>
    <w:p>
      <w:pPr>
        <w:jc w:val="both"/>
      </w:pPr>
      <w:r>
        <w:t>Đối tượng nộp phí, lệ phí đã nộp đủ số tiền phí, lệ phí theo đúng quy định của pháp luật về phí, lệ phí thì Nhà nước không thực hiện hoàn trả hay truy thu phần chênh lệch giữa mức thu mới và mức thu cũ.</w:t>
      </w:r>
    </w:p>
    <w:p>
      <w:pPr>
        <w:jc w:val="both"/>
      </w:pPr>
      <w:r>
        <w:t>Đối với các đơn yêu cầu bảo hộ đã nộp trước ngày Thông tư này có hiệu lực mà các công việc hoặc dịch vụ chưa hoàn thành và chưa nộp phí, lệ phí, nay có yêu cầu và được thực hiện, thì phải nộp phí, lệ phí theo mức quy định tại Thông tư này.</w:t>
      </w:r>
    </w:p>
    <w:p>
      <w:pPr>
        <w:jc w:val="both"/>
      </w:pPr>
      <w:r>
        <w:t>4. Việc giải quyết khiếu nại, tố cáo liên quan đến những hành vi vi phạm pháp luật về phí và lệ phí được thực hiện theo quy định pháp luật hiện hành về khiếu nại, tố cáo; khen thưởng và xử lý vi phạm pháp luật về phí, lệ phí được thực hiện theo quy định pháp luật hiện hành về phí và lệ phí.</w:t>
      </w:r>
    </w:p>
    <w:p>
      <w:pPr>
        <w:jc w:val="both"/>
      </w:pPr>
      <w:r>
        <w:t>Trong quá trình triển khai thực hiện, nếu có vướng mắc, đề nghị các tổ chức, cá nhân phản ánh kịp thời về Bộ Tài chính để xem xét, giải quyết./.</w:t>
      </w:r>
    </w:p>
    <w:p>
      <w:pPr>
        <w:jc w:val="both"/>
      </w:pPr>
      <w:r>
        <w:t>Trương Chí Trung</w:t>
      </w:r>
    </w:p>
    <w:p>
      <w:pPr>
        <w:jc w:val="both"/>
      </w:pPr>
      <w:r>
        <w:t>(Đã ký)</w:t>
      </w:r>
    </w:p>
    <w:p>
      <w:r>
        <w:rPr>
          <w:i/>
        </w:rPr>
        <w:t>Nguồn: Cơ sở dữ liệu quốc gia về văn bản pháp luật (Bộ Tư pháp). VietSmart Legal, legal.giangpham.asia/van-ban/15800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