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05/2022/TT-NHNN</w:t>
      </w:r>
    </w:p>
    <w:p>
      <w:pPr>
        <w:jc w:val="both"/>
      </w:pPr>
      <w:r>
        <w:t>Hà Nội, ngày 29 tháng 6 năm 2022</w:t>
      </w:r>
    </w:p>
    <w:p>
      <w:pPr>
        <w:jc w:val="center"/>
      </w:pPr>
      <w:r>
        <w:rPr>
          <w:b/>
        </w:rPr>
        <w:t>THÔNG TƯ</w:t>
      </w:r>
    </w:p>
    <w:p>
      <w:pPr>
        <w:jc w:val="both"/>
      </w:pPr>
      <w:r>
        <w:t>Bãi bỏ một số văn bản quy phạm pháp luật do Thống đốc Ngân hàng Nhà nước Việt Nam ban hành</w:t>
      </w:r>
    </w:p>
    <w:p>
      <w:pPr>
        <w:jc w:val="both"/>
      </w:pPr>
      <w:r>
        <w:t>Căn cứ Luật Ngân hàng Nhà nước Việt Nam ngày 16 tháng 6 năm 2010;</w:t>
      </w:r>
    </w:p>
    <w:p>
      <w:pPr>
        <w:jc w:val="both"/>
      </w:pPr>
      <w:r>
        <w:t>Căn cứ Luật Ban hành văn bản quy phạm pháp luật ngày 22 tháng 6 năm 201 5;</w:t>
      </w:r>
    </w:p>
    <w:p>
      <w:pPr>
        <w:jc w:val="both"/>
      </w:pPr>
      <w:r>
        <w:t>Căn cứ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một số điều và biện pháp thi hành Luật ban hành văn bản quy phạm pháp luật;</w:t>
      </w:r>
    </w:p>
    <w:p>
      <w:pPr>
        <w:jc w:val="both"/>
      </w:pPr>
      <w: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Vụ trưởng Vụ Pháp chế;</w:t>
      </w:r>
    </w:p>
    <w:p>
      <w:pPr>
        <w:jc w:val="both"/>
      </w:pPr>
      <w:r>
        <w:t>Thống đốc Ngân hàng Nhà nước Việt Nam ban hành Thông tư bãi bỏ một số văn bản quy phạm pháp luật do Thống đốc Ngân hàng Nhà nước Việt Nam ban hành.</w:t>
      </w:r>
    </w:p>
    <w:p>
      <w:pPr>
        <w:jc w:val="both"/>
      </w:pPr>
      <w:r>
        <w:rPr>
          <w:b/>
        </w:rPr>
        <w:t>Điều 1. Bãi bỏ toàn bộ văn bản quy phạm pháp luật</w:t>
      </w:r>
    </w:p>
    <w:p>
      <w:pPr>
        <w:jc w:val="both"/>
      </w:pPr>
      <w:r>
        <w:t>Bãi bỏ toàn bộ các văn bản quy phạm pháp luật do Thống đốc Ngân hàng Nhà nước ban hành sau đây:</w:t>
      </w:r>
    </w:p>
    <w:p>
      <w:pPr>
        <w:jc w:val="both"/>
      </w:pPr>
      <w:r>
        <w:t>1. Quyết định số 1557/2001/QĐ-NHNN ngày 14 tháng 12 năm 2001 của Thống đốc Ngân hàng Nhà nước về việc ban hành Quy chế thanh toán bù trừ điện tử liên ngân hàng.</w:t>
      </w:r>
    </w:p>
    <w:p>
      <w:pPr>
        <w:jc w:val="both"/>
      </w:pPr>
      <w:r>
        <w:t>2. Quyết định số 1531/2004/QĐ-NHNN ngày 02 tháng 12 năm 2004 của Thống đốc Ngân hàng Nhà nước ban hành quy định về hạch toán nghiệp vụ đầu tư xây dựng cơ bản của Ngân hàng Nhà nước.</w:t>
      </w:r>
    </w:p>
    <w:p>
      <w:pPr>
        <w:jc w:val="both"/>
      </w:pPr>
      <w:r>
        <w:t>3. Thông tư số 02/2006/TT-NHNN ngày 12 tháng 4 năm 2006 của Thống đốc Ngân hàng Nhà nước hướng dẫn việc ký quỹ tại Ngân hàng đối với doanh nghiệp hoạt động giới thiệu việc làm.</w:t>
      </w:r>
    </w:p>
    <w:p>
      <w:pPr>
        <w:jc w:val="both"/>
      </w:pPr>
      <w:r>
        <w:t>4. Quyết định số 17/2007/QĐ-NHNN ngày 20 tháng 4 năm 2007 của Thống đốc Ngân hàng Nhà nước ban hành Quy chế hoạt động của Ban Chỉ đạo phòng, chống tham nhũng và tội phạm của ngành Ngân hàng.</w:t>
      </w:r>
    </w:p>
    <w:p>
      <w:pPr>
        <w:jc w:val="both"/>
      </w:pPr>
      <w:r>
        <w:t>5. Thông tư số 16/2010/TT-NHNN ngày 25 tháng 6 năm 2010 của Thống đốc Ngân hàng Nhà nước hướng dẫn thi hành Nghị định số 10/2010/NĐ-CP ngày 12/02/2010 của Chính phủ về hoạt động thông tin tín dụng.</w:t>
      </w:r>
    </w:p>
    <w:p>
      <w:pPr>
        <w:jc w:val="both"/>
      </w:pPr>
      <w:r>
        <w:t>6. Thông tư số 13/2011/TT-NHNN ngày 31 tháng 5 năm 2011 của Thống đốc Ngân hàng Nhà nước quy định việc mua, bán ngoại tệ của Tập đoàn kinh tế, Tổng công ty nhà nước.</w:t>
      </w:r>
    </w:p>
    <w:p>
      <w:pPr>
        <w:jc w:val="both"/>
      </w:pPr>
      <w:r>
        <w:t>7. Thông tư số 27/2014/TT-NHNN ngày 18 tháng 9 năm 2014 của Thống đốc Ngân hàng Nhà nước về việc sửa đổi, bổ sung một số điều của Thông tư 16/2010/TT-NHNN ngày 25/6/2010 về hướng dẫn thi hành Nghị định số 10/2010/NĐ-CP ngày 12/02/2010 của Chính phủ về hoạt động thông tin tín dụng.</w:t>
      </w:r>
    </w:p>
    <w:p>
      <w:pPr>
        <w:jc w:val="both"/>
      </w:pPr>
      <w:r>
        <w:t>8. Thông tư số 34/2014/TT-NHNN ngày 20 tháng 11 năm 2014 của Thống đốc Ngân hàng Nhà nước hướng dẫn về quản lý tiền ký quỹ của doanh nghiệp kinh doanh lữ hành quốc tế.</w:t>
      </w:r>
    </w:p>
    <w:p>
      <w:pPr>
        <w:jc w:val="both"/>
      </w:pPr>
      <w:r>
        <w:t>9. Thông tư số 40/2014/TT-NHNN ngày 11 tháng 12 năm 2014 của Thống đốc Ngân hàng Nhà nước hướng dẫn việc ký quỹ và quản lý tiền ký quỹ của doanh nghiệp cho thuê lại lao động.</w:t>
      </w:r>
    </w:p>
    <w:p>
      <w:pPr>
        <w:jc w:val="both"/>
      </w:pPr>
      <w:r>
        <w:t>10. Thông tư số 23/2016/TT-NHNN ngày 30 tháng 6 năm 2016 của Thống đốc Ngân hàng Nhà nước sửa đổi, bổ sung một số điều của Thông tư số 16/2010/TT-NHNN ngày 25 tháng 6 năm 2010 của Thống đốc Ngân hàng Nhà nước hướng dẫn thi hành Nghị định số 10/2010/NĐ-CP ngày 12 tháng 02 năm 2010 của Chính phủ về hoạt động thông tin tín dụng.</w:t>
      </w:r>
    </w:p>
    <w:p>
      <w:pPr>
        <w:jc w:val="both"/>
      </w:pPr>
      <w:r>
        <w:t>11. Thông tư số 43/2018/TT-NHNN ngày 28 tháng 12 năm 2018 của Thống đốc Ngân hàng Nhà nước sửa đổi, bổ sung một số điều của Thông tư số 16/2010/TT-NHNN ngày 25 tháng 6 năm 2010 của Thống đốc Ngân hàng Nhà nước Việt Nam hướng dẫn thi hành Nghị định số 10/2010/NĐ-CP ngày 12 tháng 02 năm 2010 của Chính phủ về hoạt động thông tin tín dụng.</w:t>
      </w:r>
    </w:p>
    <w:p>
      <w:pPr>
        <w:jc w:val="both"/>
      </w:pPr>
      <w:r>
        <w:rPr>
          <w:b/>
        </w:rPr>
        <w:t>Điều 2. Hiệu lực thi hành</w:t>
      </w:r>
    </w:p>
    <w:p>
      <w:pPr>
        <w:jc w:val="both"/>
      </w:pPr>
      <w:r>
        <w:t>Thông tư này có hiệu lực thi hành kể từ ngày 15 tháng 8 năm 2022.</w:t>
      </w:r>
    </w:p>
    <w:p>
      <w:pPr>
        <w:jc w:val="both"/>
      </w:pPr>
      <w:r>
        <w:rPr>
          <w:b/>
        </w:rPr>
        <w:t>Điều 3. Tổ chức thực hiện</w:t>
      </w:r>
    </w:p>
    <w:p>
      <w:pPr>
        <w:jc w:val="both"/>
      </w:pPr>
      <w:r>
        <w:t>Chánh Văn phòng, Vụ trưởng Vụ Pháp chế, Thủ trưởng các đơn vị thuộc Ngân hàng Nhà nước Việt Nam, Tổ chức tín dụng, chi nhánh ngân hàng nước ngoài chịu trách nhiệm thi hành Thông tư này./.</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legal.giangpham.asia/van-ban/154460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