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202/2006/QĐ-TTg</w:t>
      </w:r>
    </w:p>
    <w:p>
      <w:pPr>
        <w:jc w:val="both"/>
      </w:pPr>
      <w:r>
        <w:t>Ngày 31 tháng 8 năm 2006</w:t>
      </w:r>
    </w:p>
    <w:p>
      <w:pPr>
        <w:jc w:val="center"/>
      </w:pPr>
      <w:r>
        <w:rPr>
          <w:b/>
        </w:rPr>
        <w:t>QUYẾT ĐỊNH</w:t>
      </w:r>
    </w:p>
    <w:p>
      <w:pPr>
        <w:jc w:val="both"/>
      </w:pPr>
      <w:r>
        <w:t>Về việc ban hành Quy chế quản lý tài sản nhà nước tại đơn vị sự nghiệp công lập</w:t>
      </w:r>
    </w:p>
    <w:p>
      <w:pPr>
        <w:jc w:val="both"/>
      </w:pPr>
      <w:r>
        <w:t>_____________</w:t>
      </w:r>
    </w:p>
    <w:p>
      <w:pPr>
        <w:jc w:val="both"/>
      </w:pPr>
      <w:r>
        <w:t>THỦ TƯỚNG 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Nghị định số 14/1998/NĐ-CP ngày 06 tháng 3 năm 1998 của Chính phủ về quản lý tài sản nhà nước;</w:t>
      </w:r>
    </w:p>
    <w:p>
      <w:pPr>
        <w:jc w:val="both"/>
      </w:pPr>
      <w:r>
        <w:t>Căn cứ Nghị định số 43/2006/NĐ-CP ngày 25 tháng 4 năm 2006 của Chính phủ quy định quyền tự chủ, tự chịu trách nhiệm về thực hiện nhiệm vụ, tổ chức, bộ máy, biên chế và tài chính đối với đơn vị sự nghiệp công lập;</w:t>
      </w:r>
    </w:p>
    <w:p>
      <w:pPr>
        <w:jc w:val="both"/>
      </w:pPr>
      <w:r>
        <w:t>Xét đề nghị của Bộ trưởng Bộ Tài chính,</w:t>
      </w:r>
    </w:p>
    <w:p>
      <w:pPr>
        <w:jc w:val="center"/>
      </w:pPr>
      <w:r>
        <w:rPr>
          <w:b/>
        </w:rPr>
        <w:t>QUYẾT ĐỊNH:</w:t>
      </w:r>
    </w:p>
    <w:p>
      <w:pPr>
        <w:jc w:val="both"/>
      </w:pPr>
      <w:r>
        <w:rPr>
          <w:b/>
        </w:rPr>
        <w:t>Điều 1. Ban hành kèm theo Quyết định này "Quy chế quản lý tài sản nhà nước tại đơn vị sự nghiệp công lập".</w:t>
      </w:r>
    </w:p>
    <w:p>
      <w:pPr>
        <w:jc w:val="both"/>
      </w:pPr>
      <w:r>
        <w:rPr>
          <w:b/>
        </w:rPr>
        <w:t>Điều 2. Bộ trưởng Bộ Tài chính chủ trì, phối hợp với các Bộ, cơ quan liên quan có trách nhiệm hướng dẫn thực hiện Quy chế ban hành kèm theo Quyết định này.</w:t>
      </w:r>
    </w:p>
    <w:p>
      <w:pPr>
        <w:jc w:val="both"/>
      </w:pPr>
      <w:r>
        <w:rPr>
          <w:b/>
        </w:rPr>
        <w:t>Điều 3. Quyết định này có hiệu lực thi hành sau 15 ngày, kể từ ngày đăng Công báo.</w:t>
      </w:r>
    </w:p>
    <w:p>
      <w:pPr>
        <w:jc w:val="both"/>
      </w:pPr>
      <w:r>
        <w:t>Các Bộ trưởng, Thủ trưởng cơ quan ngang Bộ, Thủ trưởng cơ quan thuộc Chính phủ, Chủ tịch Ủy ban nhân dân các tỉnh, thành phố trực thuộc Trung ương và Thủ trưởng các đơn vị sự nghiệp công lập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legal.giangpham.asia/van-ban/15347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