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01/2022/NĐ-CP</w:t>
      </w:r>
    </w:p>
    <w:p>
      <w:pPr>
        <w:jc w:val="both"/>
      </w:pPr>
      <w:r>
        <w:t>Hà Nội, ngày 4 tháng 1 năm 2022</w:t>
      </w:r>
    </w:p>
    <w:p>
      <w:pPr>
        <w:jc w:val="center"/>
      </w:pPr>
      <w:r>
        <w:rPr>
          <w:b/>
        </w:rPr>
        <w:t>NGHỊ ĐỊNH</w:t>
      </w:r>
    </w:p>
    <w:p>
      <w:pPr>
        <w:jc w:val="both"/>
      </w:pPr>
      <w:r>
        <w:t>SỬA ĐỔI, BỔ SUNG MỘT SỐ ĐIỀU CỦA NGHỊ ĐỊNH SỐ 65/2018/NĐ-CP NGÀY 12</w:t>
      </w:r>
    </w:p>
    <w:p>
      <w:pPr>
        <w:jc w:val="both"/>
      </w:pPr>
      <w:r>
        <w:t>THÁNG 5 NĂM 2018 CỦA CHÍNH PHỦ QUY ĐỊNH CHI TIẾT THI HÀNH MỘT SỐ ĐIỀU</w:t>
      </w:r>
    </w:p>
    <w:p>
      <w:pPr>
        <w:jc w:val="both"/>
      </w:pPr>
      <w:r>
        <w:t>CỦA LUẬT ĐƯỜNG SẮT</w:t>
      </w:r>
    </w:p>
    <w:p>
      <w:pPr>
        <w:jc w:val="both"/>
      </w:pPr>
      <w:r>
        <w:t>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Đường sắt ngày 16 tháng 6 năm 2017;</w:t>
      </w:r>
    </w:p>
    <w:p>
      <w:pPr>
        <w:jc w:val="both"/>
      </w:pPr>
      <w:r>
        <w:t>Theo đề nghị của Bộ trưởng Bộ Giao thông vận tải;</w:t>
      </w:r>
    </w:p>
    <w:p>
      <w:pPr>
        <w:jc w:val="both"/>
      </w:pPr>
      <w:r>
        <w:t>Chính phủ ban hành Nghị định sửa đổi, bổ sung một số điều của Nghị định số 65/2018/NĐ-CP ngày 12 tháng 5 năm 2018 của Chính phủ quy định chi tiết thi hành một số điều của Luật Đường sắt.</w:t>
      </w:r>
    </w:p>
    <w:p>
      <w:pPr>
        <w:jc w:val="both"/>
      </w:pPr>
      <w:r>
        <w:rPr>
          <w:b/>
        </w:rPr>
        <w:t>Điều 1. Sửa đổi, bổ sung một số điều của Nghị định số 65/2018/NĐ-CP ngày 12 tháng 5 năm 2018 của Chính phủ quy định chi tiết thi hành một số điều của Luật Đường sắt</w:t>
      </w:r>
    </w:p>
    <w:p>
      <w:pPr>
        <w:jc w:val="both"/>
      </w:pPr>
      <w:r>
        <w:t>1. Sửa đổi khoản 3 và bổ sung khoản 6 Điều 18 như sau:</w:t>
      </w:r>
    </w:p>
    <w:p>
      <w:pPr>
        <w:jc w:val="both"/>
      </w:pPr>
      <w:r>
        <w:t>a) Sửa đổi khoản 3 như sau:</w:t>
      </w:r>
    </w:p>
    <w:p>
      <w:pPr>
        <w:jc w:val="both"/>
      </w:pPr>
      <w:r>
        <w:t>"3. Không áp dụng quy định về niên hạn sử dụng phương tiện giao thông đường sắt quy định tại khoản 1, khoản 2 Điều này đối với việc thực hiện cứu hộ cứu nạn; dồn dịch trong ga, cảng, trong đề-pô, trong nội bộ nhà máy; điều chuyển giữa các ga, các đề-pô; các đầu máy hơi nước kéo đoàn tàu du lịch; toa xe mặt võng chuyên vận tải phục vụ an ninh, quốc phòng và các loại phương tiện chuyên dùng di chuyển trên đường sắt.".</w:t>
      </w:r>
    </w:p>
    <w:p>
      <w:pPr>
        <w:jc w:val="both"/>
      </w:pPr>
      <w:r>
        <w:t>b) Bổ sung khoản 6 như sau:</w:t>
      </w:r>
    </w:p>
    <w:p>
      <w:pPr>
        <w:jc w:val="both"/>
      </w:pPr>
      <w:r>
        <w:t>"6. Phương tiện giao thông đường sắt quy định tại khoản 1, khoản 2 Điều này khi hết niên hạn sử dụng được chuyển thành phương tiện không áp dụng quy định về niên hạn sử dụng theo quy định tại khoản 3 Điều này.".</w:t>
      </w:r>
    </w:p>
    <w:p>
      <w:pPr>
        <w:jc w:val="both"/>
      </w:pPr>
      <w:r>
        <w:t>2. Sửa đổi Điều 19 như sau:</w:t>
      </w:r>
    </w:p>
    <w:p>
      <w:pPr>
        <w:jc w:val="both"/>
      </w:pPr>
      <w:r>
        <w:t>"Điều 19. Lộ trình thực hiện niên hạn sử dụng của phương tiện giao thông đường sắt</w:t>
      </w:r>
    </w:p>
    <w:p>
      <w:pPr>
        <w:jc w:val="both"/>
      </w:pPr>
      <w:r>
        <w:t>1. Các phương tiện hết niên hạn sử dụng trước ngày 31 tháng 12 năm 2018: Được phép hoạt động đến hết ngày 31 tháng 12 năm 2023.</w:t>
      </w:r>
    </w:p>
    <w:p>
      <w:pPr>
        <w:jc w:val="both"/>
      </w:pPr>
      <w:r>
        <w:t>2. Các phương tiện hết niên hạn sử dụng từ 01 tháng 01 năm 2019 đến ngày 31 tháng 12 năm 2019: Được phép hoạt động đến hết ngày 31 tháng 12 năm 2024.</w:t>
      </w:r>
    </w:p>
    <w:p>
      <w:pPr>
        <w:jc w:val="both"/>
      </w:pPr>
      <w:r>
        <w:t>3. Các phương tiện hết niên hạn sử dụng từ 01 tháng 01 năm 2020 đến ngày 31 tháng 12 năm 2025: Được phép hoạt động đến hết ngày 31 tháng 12 năm 2025.</w:t>
      </w:r>
    </w:p>
    <w:p>
      <w:pPr>
        <w:jc w:val="both"/>
      </w:pPr>
      <w:r>
        <w:t>4. Các phương tiện hết niên hạn sử dụng từ ngày 01 tháng 01 năm 2026: Không được kéo dài thời gian hoạt động.".</w:t>
      </w:r>
    </w:p>
    <w:p>
      <w:pPr>
        <w:jc w:val="both"/>
      </w:pPr>
      <w:r>
        <w:rPr>
          <w:b/>
        </w:rPr>
        <w:t>Điều 2. Hiệu lực thi hành</w:t>
      </w:r>
    </w:p>
    <w:p>
      <w:pPr>
        <w:jc w:val="both"/>
      </w:pPr>
      <w:r>
        <w:t>Nghị định này có hiệu lực thi hành kể từ ngày ký.</w:t>
      </w:r>
    </w:p>
    <w:p>
      <w:pPr>
        <w:jc w:val="both"/>
      </w:pPr>
      <w:r>
        <w:rPr>
          <w:b/>
        </w:rPr>
        <w:t>Điều 3. Trách nhiệm thi hành</w:t>
      </w:r>
    </w:p>
    <w:p>
      <w:pPr>
        <w:jc w:val="both"/>
      </w:pPr>
      <w:r>
        <w:t>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Lê Văn Thành</w:t>
      </w:r>
    </w:p>
    <w:p>
      <w:r>
        <w:rPr>
          <w:i/>
        </w:rPr>
        <w:t>Nguồn: Cơ sở dữ liệu quốc gia về văn bản pháp luật (Bộ Tư pháp). VietSmart Legal, legal.giangpham.asia/van-ban/153200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