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20/2020/TT-BYT</w:t>
      </w:r>
    </w:p>
    <w:p>
      <w:pPr>
        <w:jc w:val="both"/>
      </w:pPr>
      <w:r>
        <w:t>Hà Nội, ngày 26 tháng 11 năm 2020</w:t>
      </w:r>
    </w:p>
    <w:p>
      <w:pPr>
        <w:jc w:val="center"/>
      </w:pPr>
      <w:r>
        <w:rPr>
          <w:b/>
        </w:rPr>
        <w:t>THÔNG TƯ</w:t>
      </w:r>
    </w:p>
    <w:p>
      <w:pPr>
        <w:jc w:val="both"/>
      </w:pPr>
      <w:r>
        <w:t>SỬA ĐỔI, BỔ SUNG MỘT SỐ ĐIỀU CỦA THÔNG TƯ SỐ 30/2018/TT-BYT NGÀY 30 THÁNG 10 NĂM 2018 CỦA BỘ TRƯỞNG BỘ Y TẾ BAN HÀNH DANH MỤC VÀ TỶ LỆ, ĐIỀU KIỆN THANH TOÁN ĐỐI VỚI THUỐC HÓA DƯỢC, SINH PHẨM, THUỐC PHÓNG XẠ VÀ CHẤT ĐÁNH DẤU THUỘC PHẠM VI ĐƯỢC HƯỞNG CỦA NGƯỜI THAM GIA BẢO HIỂM Y TẾ</w:t>
      </w:r>
    </w:p>
    <w:p>
      <w:pPr>
        <w:jc w:val="both"/>
      </w:pPr>
      <w:r>
        <w:t>Căn cứ Luật bảo hiểm y tế số 25/2008/QH12 ngày 14 tháng 11 năm 2008 đã được sửa đổi, bổ sung một số điều theo Luật số 46/2014/QH13 ngày 13 tháng 6 năm 2014;</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Bảo hiểm y tế,</w:t>
      </w:r>
    </w:p>
    <w:p>
      <w:pPr>
        <w:jc w:val="both"/>
      </w:pPr>
      <w:r>
        <w:t>Bộ trưởng Bộ Y tế ban hành Thông tư sửa đổi, bổ sung một số điều của Thông tư số 30/2018/TT-BYT ngày 30 tháng 10 năm 2018 của Bộ trưởng Bộ Y tế ban hành Danh mục và tỷ lệ, điều kiện thanh toán đối với thuốc hóa dược, sinh phẩm, thuốc phóng xạ và chất đánh dấu thuộc phạm vi được hưởng của người tham gia bảo hiểm y tế,</w:t>
      </w:r>
    </w:p>
    <w:p>
      <w:pPr>
        <w:jc w:val="both"/>
      </w:pPr>
      <w:r>
        <w:rPr>
          <w:b/>
        </w:rPr>
        <w:t>Điều 1. Sửa đổi, bổ sung điểm a và b khoản 7 Điều 4 Thông tư số 30/2018/TT-BYT ngày 30 tháng 10 năm 2018 của Bộ trưởng Bộ Y tế ban hành Danh mục và tỷ lệ, điều kiện thanh toán đối với thuốc hóa dược, sinh phẩm, thuốc phóng xạ và chất đánh dấu thuộc phạm vi được hưởng của người tham gia bảo hiểm y tế (sau đây gọi tắt là Thông tư số 30/2018/TT-BYT ) như sau:</w:t>
      </w:r>
    </w:p>
    <w:p>
      <w:pPr>
        <w:jc w:val="both"/>
      </w:pPr>
      <w:r>
        <w:t>a) Hoạt chất của thuốc có trong Danh mục tại Phụ lục 01 hoặc Phụ lục 02;</w:t>
      </w:r>
    </w:p>
    <w:p>
      <w:pPr>
        <w:jc w:val="both"/>
      </w:pPr>
      <w:r>
        <w:t>b) Phù hợp về đường dùng, dạng dùng, hạng bệnh viện được sử dụng trong Danh mục tại Phụ lục 01 hoặc Phụ lục 02.</w:t>
      </w:r>
    </w:p>
    <w:p>
      <w:pPr>
        <w:jc w:val="both"/>
      </w:pPr>
      <w:r>
        <w:rPr>
          <w:b/>
        </w:rPr>
        <w:t>Điều 2. Bổ sung thuốc Tenofovir + lamivudin + dolutegravir vào tiểu phân nhóm 6.3.1 - Thuốc điều trị HIV/AIDS thuộc phân nhóm 6.3 - Thuốc chống vi rút của Nhóm 6 - Thuốc điều trị ký sinh trùng, chống nhiễm khuẩn trong Phụ lục 01 Danh mục thuốc hóa dược, sinh phẩm thuộc phạm vi được hưởng của người tham gia bảo hiểm y tế ban hành kèm theo Thông tư số 30/2018/TT-BYT như sau:</w:t>
      </w:r>
    </w:p>
    <w:p>
      <w:pPr>
        <w:jc w:val="both"/>
      </w:pPr>
      <w:r>
        <w:t>STT</w:t>
      </w:r>
    </w:p>
    <w:p>
      <w:pPr>
        <w:jc w:val="both"/>
      </w:pPr>
      <w:r>
        <w:t>Tên hoạt chất</w:t>
      </w:r>
    </w:p>
    <w:p>
      <w:pPr>
        <w:jc w:val="both"/>
      </w:pPr>
      <w:r>
        <w:t>Đường dùng, dạng dùng</w:t>
      </w:r>
    </w:p>
    <w:p>
      <w:pPr>
        <w:jc w:val="both"/>
      </w:pPr>
      <w:r>
        <w:t>Hạng bệnh viện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6. THUỐC ĐIỀU TRỊ KÝ SINH TRÙNG, CHỐNG NHIỄM KHUẨN</w:t>
      </w:r>
    </w:p>
    <w:p>
      <w:pPr>
        <w:jc w:val="both"/>
      </w:pPr>
      <w:r>
        <w:t>6.3. Thuốc chống vi rút</w:t>
      </w:r>
    </w:p>
    <w:p>
      <w:pPr>
        <w:jc w:val="both"/>
      </w:pPr>
      <w:r>
        <w:t>6.3.1. Thuốc điều trị HIV/AIDS</w:t>
      </w:r>
    </w:p>
    <w:p>
      <w:pPr>
        <w:jc w:val="both"/>
      </w:pPr>
      <w:r>
        <w:t>270a</w:t>
      </w:r>
    </w:p>
    <w:p>
      <w:pPr>
        <w:jc w:val="both"/>
      </w:pPr>
      <w:r>
        <w:t>Tenofovir + lamivudin + dolutegravir</w:t>
      </w:r>
    </w:p>
    <w:p>
      <w:pPr>
        <w:jc w:val="both"/>
      </w:pPr>
      <w:r>
        <w:t>Uống</w:t>
      </w:r>
    </w:p>
    <w:p>
      <w:pPr>
        <w:jc w:val="both"/>
      </w:pPr>
      <w:r>
        <w:t>+</w:t>
      </w:r>
    </w:p>
    <w:p>
      <w:pPr>
        <w:jc w:val="both"/>
      </w:pPr>
      <w:r>
        <w:t>+</w:t>
      </w:r>
    </w:p>
    <w:p>
      <w:pPr>
        <w:jc w:val="both"/>
      </w:pPr>
      <w:r>
        <w:t>+</w:t>
      </w:r>
    </w:p>
    <w:p>
      <w:pPr>
        <w:jc w:val="both"/>
      </w:pPr>
      <w:r>
        <w:t>Đối với điều trị HIV/AIDS: Thuốc được cấp phát tại trạm y tế xã theo hướng dẫn quản lý, điều trị và chăm sóc HIV/AIDS của Bộ Y tế.</w:t>
      </w:r>
    </w:p>
    <w:p>
      <w:pPr>
        <w:jc w:val="both"/>
      </w:pPr>
      <w:r>
        <w:rPr>
          <w:b/>
        </w:rPr>
        <w:t>Điều 3. Hiệu lực thi hành.</w:t>
      </w:r>
    </w:p>
    <w:p>
      <w:pPr>
        <w:jc w:val="both"/>
      </w:pPr>
      <w:r>
        <w:t>Thông tư này có hiệu lực thi hành kể từ ngày 15 tháng 01 năm 2021.</w:t>
      </w:r>
    </w:p>
    <w:p>
      <w:pPr>
        <w:jc w:val="both"/>
      </w:pPr>
      <w:r>
        <w:t>Trong quá trình thực hiện nếu có khó khăn, vướng mắc đề nghị các cơ quan, tổ chức, cá nhân phản ánh bằng văn bản về Bộ Y tế để xem xét, giải quyết ./.</w:t>
      </w:r>
    </w:p>
    <w:p>
      <w:pPr>
        <w:jc w:val="both"/>
      </w:pPr>
      <w:r>
        <w:t>KT. BỘ TRƯỞNG</w:t>
      </w:r>
    </w:p>
    <w:p>
      <w:pPr>
        <w:jc w:val="both"/>
      </w:pPr>
      <w:r>
        <w:t>THỨ TRƯỞNG</w:t>
      </w:r>
    </w:p>
    <w:p>
      <w:pPr>
        <w:jc w:val="both"/>
      </w:pPr>
      <w:r>
        <w:t>(Đã ký)</w:t>
      </w:r>
    </w:p>
    <w:p>
      <w:pPr>
        <w:jc w:val="both"/>
      </w:pPr>
      <w:r>
        <w:t>Nguyễn Trường Sơn</w:t>
      </w:r>
    </w:p>
    <w:p>
      <w:r>
        <w:rPr>
          <w:i/>
        </w:rPr>
        <w:t>Nguồn: Cơ sở dữ liệu quốc gia về văn bản pháp luật (Bộ Tư pháp). VietSmart Legal, legal.giangpham.asia/van-ban/147193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