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CHÍNH PHỦ</w:t>
      </w:r>
    </w:p>
    <w:p>
      <w:pPr>
        <w:jc w:val="both"/>
      </w:pPr>
      <w:r>
        <w:t>CỘNG HOÀ XÃ HỘI CHỦ NGHĨA VIỆT NAM</w:t>
      </w:r>
    </w:p>
    <w:p>
      <w:pPr>
        <w:jc w:val="both"/>
      </w:pPr>
      <w:r>
        <w:t>Độc lập - Tự do - Hạnh phúc</w:t>
      </w:r>
    </w:p>
    <w:p>
      <w:pPr>
        <w:jc w:val="both"/>
      </w:pPr>
      <w:r>
        <w:t>Số: 29 /CP-KTTH</w:t>
      </w:r>
    </w:p>
    <w:p>
      <w:pPr>
        <w:jc w:val="both"/>
      </w:pPr>
      <w:r>
        <w:t>V/v đính chính Nghị định số 125/2020/NĐ-CP.</w:t>
      </w:r>
    </w:p>
    <w:p>
      <w:pPr>
        <w:jc w:val="both"/>
      </w:pPr>
      <w:r>
        <w:t>Hà Nội, ngày 21 tháng 01 năm 2021</w:t>
      </w:r>
    </w:p>
    <w:p>
      <w:pPr>
        <w:jc w:val="both"/>
      </w:pPr>
      <w:r>
        <w:t>Kính gửi:</w:t>
      </w:r>
    </w:p>
    <w:p>
      <w:pPr>
        <w:jc w:val="both"/>
      </w:pPr>
      <w:r>
        <w:t>- Các Bộ, cơ quan ngang Bộ, cơ quan thuộc Chính phủ;</w:t>
      </w:r>
    </w:p>
    <w:p>
      <w:pPr>
        <w:jc w:val="both"/>
      </w:pPr>
      <w:r>
        <w:t>- Hội đồng nhân dân, Ủy ban nhân dân các tỉnh, thành phố trực thuộc Trung ương.</w:t>
      </w:r>
    </w:p>
    <w:p>
      <w:pPr>
        <w:jc w:val="both"/>
      </w:pPr>
      <w:r>
        <w:t>Do sơ suất kỹ thuật, xin đính chính sai sót tại Nghị định số 125/2020/NĐ-CP ngày 19 tháng 10 năm 2020 của Chính phủ quy định xử phạt vi phạm hành chính về thuế, hóa đơn như sau:</w:t>
      </w:r>
    </w:p>
    <w:p>
      <w:pPr>
        <w:jc w:val="both"/>
      </w:pPr>
      <w:r>
        <w:t>1. Tại khoản 3 Điều 19 Nghị định số 125/2020/NĐ-CP viết là: "... Mức phạt tiền đối với cá nhân áp dụng theo nguyên tắc quy định tại khoản 5 Điều 4 Nghị định này". Nay xin sửa lại là: "... Mức phạt tiền đối với cá nhân áp dụng theo nguyên tắc quy định tại khoản 5 Điều 5 Nghị định này".</w:t>
      </w:r>
    </w:p>
    <w:p>
      <w:pPr>
        <w:jc w:val="both"/>
      </w:pPr>
      <w:r>
        <w:t>2. Tại tên Điều 29 Nghị định số 125/2020/NĐ-CP viết là: " Điều 29 Xử phạt hành vi vi phạm quy định về lập, gửi thông báo, báo cáo về hóa đơn ". Nay xin sửa lại là: " Điều 29 Xử phạt hành vi vi phạm quy định về lập, gửi thông báo, báo cáo về hóa đơn ".</w:t>
      </w:r>
    </w:p>
    <w:p>
      <w:pPr>
        <w:jc w:val="both"/>
      </w:pPr>
      <w:r>
        <w:t>3. Tại phần ghi chú số [18] Mẫu số 01/QĐ; số [9] Mẫu số 02/QĐ; số [18] Mẫu số 03/QĐ; số [11] Mẫu số 04/QĐ; số [17] Mẫu số 06/QĐ; số [10] Mẫu số 07/QĐ; số [11] Mẫu số 08/QĐ; số [13] Mẫu số 09/QĐ; số [14] Mẫu số 10/QĐ; số [14] Mẫu số 11/QĐ Phụ lục ban hành kèm theo Nghị định số 125/2020/NĐ-CP viết là: "... ghi chữ viết tắt "Q." trước chức danh của cấp trưởng ...". Nay xin sửa lại là: "... ghi chữ viết tắt "KT." trước chức danh của cấp trưởng ..."./.</w:t>
      </w:r>
    </w:p>
    <w:p>
      <w:pPr>
        <w:jc w:val="both"/>
      </w:pPr>
      <w:r>
        <w:t>Nơi nhận:</w:t>
      </w:r>
    </w:p>
    <w:p>
      <w:pPr>
        <w:jc w:val="both"/>
      </w:pPr>
      <w:r>
        <w:t>- Ban Bí thư Trung ương Đảng;</w:t>
      </w:r>
    </w:p>
    <w:p>
      <w:pPr>
        <w:jc w:val="both"/>
      </w:pPr>
      <w:r>
        <w:t>- Thủ tướng, các Phó Thủ tướng Chính phủ;</w:t>
      </w:r>
    </w:p>
    <w:p>
      <w:pPr>
        <w:jc w:val="both"/>
      </w:pPr>
      <w:r>
        <w:t>-Các bộ, cơ quan ngang bộ, cơ quan thuộc Chính phủ;</w:t>
      </w:r>
    </w:p>
    <w:p>
      <w:pPr>
        <w:jc w:val="both"/>
      </w:pPr>
      <w:r>
        <w:t>- HĐND, UBND các tỉnh, thành phố trực thuộc TW;</w:t>
      </w:r>
    </w:p>
    <w:p>
      <w:pPr>
        <w:jc w:val="both"/>
      </w:pPr>
      <w:r>
        <w:t>-Văn phòng Trung ương và các Ban của Đảng;</w:t>
      </w:r>
    </w:p>
    <w:p>
      <w:pPr>
        <w:jc w:val="both"/>
      </w:pPr>
      <w:r>
        <w:t>- Văn phòng Tổng Bí thư;</w:t>
      </w:r>
    </w:p>
    <w:p>
      <w:pPr>
        <w:jc w:val="both"/>
      </w:pPr>
      <w:r>
        <w:t>- VP Chủ tịch nước; VP Quốc hội;</w:t>
      </w:r>
    </w:p>
    <w:p>
      <w:pPr>
        <w:jc w:val="both"/>
      </w:pPr>
      <w:r>
        <w:t>- Hội đồng Dân tộc và các Ủy ban của Quốc hội;</w:t>
      </w:r>
    </w:p>
    <w:p>
      <w:pPr>
        <w:jc w:val="both"/>
      </w:pPr>
      <w:r>
        <w:t>- Toà án nhân dân tối cao;</w:t>
      </w:r>
    </w:p>
    <w:p>
      <w:pPr>
        <w:jc w:val="both"/>
      </w:pPr>
      <w:r>
        <w:t>- Viện kiểm sát nhân dân tối cao;</w:t>
      </w:r>
    </w:p>
    <w:p>
      <w:pPr>
        <w:jc w:val="both"/>
      </w:pPr>
      <w:r>
        <w:t>- Kiểm toán Nhà nước;</w:t>
      </w:r>
    </w:p>
    <w:p>
      <w:pPr>
        <w:jc w:val="both"/>
      </w:pPr>
      <w:r>
        <w:t>- Ủy ban Giám sát tài chính Quốc gia;</w:t>
      </w:r>
    </w:p>
    <w:p>
      <w:pPr>
        <w:jc w:val="both"/>
      </w:pPr>
      <w:r>
        <w:t>- Ngân hàng Chính sách xã hội;</w:t>
      </w:r>
    </w:p>
    <w:p>
      <w:pPr>
        <w:jc w:val="both"/>
      </w:pPr>
      <w:r>
        <w:t>- Ngân hàng Phát triển Việt Nam;</w:t>
      </w:r>
    </w:p>
    <w:p>
      <w:pPr>
        <w:jc w:val="both"/>
      </w:pPr>
      <w:r>
        <w:t>- Ủy ban Trung ương Mặt trận Tổ quốc Việt Nam;</w:t>
      </w:r>
    </w:p>
    <w:p>
      <w:pPr>
        <w:jc w:val="both"/>
      </w:pPr>
      <w:r>
        <w:t>- Cơ quan trung ương của các đoàn thể;</w:t>
      </w:r>
    </w:p>
    <w:p>
      <w:pPr>
        <w:jc w:val="both"/>
      </w:pPr>
      <w:r>
        <w:t>- VPCP: BTCN, các PCN, Trợ lý TTg, TGĐ Cổng TTĐT, các Vụ, Cục, đơn vị trực thuộc, Công báo;</w:t>
      </w:r>
    </w:p>
    <w:p>
      <w:pPr>
        <w:jc w:val="both"/>
      </w:pPr>
      <w:r>
        <w:t>- Lưu: VT, KTTH (3b).</w:t>
      </w:r>
    </w:p>
    <w:p>
      <w:pPr>
        <w:jc w:val="both"/>
      </w:pPr>
      <w:r>
        <w:t>TM. CHÍNH PHỦ</w:t>
      </w:r>
    </w:p>
    <w:p>
      <w:pPr>
        <w:jc w:val="both"/>
      </w:pPr>
      <w:r>
        <w:t>TUQ. THỦ TƯỞNG</w:t>
      </w:r>
    </w:p>
    <w:p>
      <w:pPr>
        <w:jc w:val="both"/>
      </w:pPr>
      <w:r>
        <w:t>BỘ TRƯỞNG BỘ TÀI CHÍNH</w:t>
      </w:r>
    </w:p>
    <w:p>
      <w:pPr>
        <w:jc w:val="both"/>
      </w:pPr>
      <w:r>
        <w:t>(Đã ký)</w:t>
      </w:r>
    </w:p>
    <w:p>
      <w:pPr>
        <w:jc w:val="both"/>
      </w:pPr>
      <w:r>
        <w:t>Đinh Tiến Dũng</w:t>
      </w:r>
    </w:p>
    <w:p>
      <w:r>
        <w:rPr>
          <w:i/>
        </w:rPr>
        <w:t>Nguồn: Cơ sở dữ liệu quốc gia về văn bản pháp luật (Bộ Tư pháp). VietSmart Legal, legal.giangpham.asia/van-ban/146458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