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quy định mức thu, chế độ thu, nộp, quản lý và sử dụng phí,</w:t>
      </w:r>
    </w:p>
    <w:p>
      <w:pPr>
        <w:jc w:val="both"/>
      </w:pPr>
      <w:r>
        <w:t>lệ phí trong lĩnh vực hàng không</w:t>
      </w:r>
    </w:p>
    <w:p>
      <w:pPr>
        <w:jc w:val="both"/>
      </w:pPr>
      <w:r>
        <w:t>_________________________</w:t>
      </w:r>
    </w:p>
    <w:p>
      <w:pPr>
        <w:jc w:val="both"/>
      </w:pPr>
      <w:r>
        <w:t>BỘ TRƯỞNG BỘ TÀI CHÍNH</w:t>
      </w:r>
    </w:p>
    <w:p>
      <w:pPr>
        <w:jc w:val="both"/>
      </w:pPr>
      <w:r>
        <w:t>Căn cứ Quyết định số 37/2002/QĐ-TTg ngày 14/3/2002 của Thủ tướng Chính phủ về Chương trình hành động của Chính phủ thực hiện Nghị quyết số 07-NQ/TW ngày 27/11/2001 của Bộ Chính trị về hội nhập kinh tế quốc tế;</w:t>
      </w:r>
    </w:p>
    <w:p>
      <w:pPr>
        <w:jc w:val="both"/>
      </w:pPr>
      <w:r>
        <w:t>Căn cứ Nghị định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57/2002/NĐ-CP ngày 03/6/2002 của Chính phủ quy định chi tiết thi hành Pháp lệnh phí và lệ phí;</w:t>
      </w:r>
    </w:p>
    <w:p>
      <w:pPr>
        <w:jc w:val="both"/>
      </w:pPr>
      <w:r>
        <w:t>Căn cứ Nghị định số 77/2003/NĐ-CP ngày 01/7/2003 của Chính phủ quy định chức năng, nhiệm vụ, quyền hạn và cơ cấu tổ chức của Bộ Tài chính;</w:t>
      </w:r>
    </w:p>
    <w:p>
      <w:pPr>
        <w:jc w:val="both"/>
      </w:pPr>
      <w:r>
        <w:t>Sau khi có ý kiến của Bộ Giao thông vận tải và theo đề nghị của Vụ trưởng Vụ Chính sách thuế.</w:t>
      </w:r>
    </w:p>
    <w:p>
      <w:pPr>
        <w:jc w:val="center"/>
      </w:pPr>
      <w:r>
        <w:rPr>
          <w:b/>
        </w:rPr>
        <w:t>QUYẾT ĐỊNH:</w:t>
      </w:r>
    </w:p>
    <w:p>
      <w:pPr>
        <w:jc w:val="both"/>
      </w:pPr>
      <w:r>
        <w:rPr>
          <w:b/>
        </w:rPr>
        <w:t>Điều 1. Ban hành kèm theo Quyết định này Biểu mức thu phí, lệ phí trong lĩnh vực hàng không.</w:t>
      </w:r>
    </w:p>
    <w:p>
      <w:pPr>
        <w:jc w:val="both"/>
      </w:pPr>
      <w:r>
        <w:rPr>
          <w:b/>
        </w:rPr>
        <w:t>Điều 2. Đối tượng nộp phí, lệ phí là các tổ chức, cá nhân Việt Nam và tổ chức, cá nhân nước ngoài khi được cơ quan quản lý nhà nước về hàng không thực hiện các công việc quy định thu phí, lệ phí tại Biểu mức thu quy định tại Điều 1 Quyết định này.</w:t>
      </w:r>
    </w:p>
    <w:p>
      <w:pPr>
        <w:jc w:val="both"/>
      </w:pPr>
      <w:r>
        <w:rPr>
          <w:b/>
        </w:rPr>
        <w:t>Điều 3. Cơ quan quản lý nhà nước về hàng không thực hiện các công việc nêu tại Điều 2 Quyết định này có nhiệm vụ tổ chức thu, nộp, quản lý và sử dụng phí, lệ phí theo quy định tại Quyết định này (dưới đây gọi là cơ quan thu phí, lệ phí).</w:t>
      </w:r>
    </w:p>
    <w:p>
      <w:pPr>
        <w:jc w:val="both"/>
      </w:pPr>
      <w:r>
        <w:rPr>
          <w:b/>
        </w:rPr>
        <w:t>Điều 4. Phí, lệ phí trong lĩnh vực hàng không thu bằng đồng Việt Nam. Trường hợp đối tượng nộp phí, lệ phí có nhu cầu nộp bằng ngoại tệ thì được thu bằng ngoại tệ trên cơ sở quy đổi ngoại tệ ra đồng Việt Nam theo tỷ giá trên thị trường ngoại tệ liên ngân hàng do Ngân hàng nhà nước Việt Nam công bố tại thời điểm thu phí, lệ phí.</w:t>
      </w:r>
    </w:p>
    <w:p>
      <w:pPr>
        <w:jc w:val="both"/>
      </w:pPr>
      <w:r>
        <w:rPr>
          <w:b/>
        </w:rPr>
        <w:t>Điều 5. Phí, lệ phí trong lĩnh vực hàng không là khoản thu thuộc ngân sách nhà nước, được quản lý, sử dụng như sau:</w:t>
      </w:r>
    </w:p>
    <w:p>
      <w:pPr>
        <w:jc w:val="both"/>
      </w:pPr>
      <w:r>
        <w:t>1. Cơ quan thu phí, lệ phí được trích 60% (sáu mươi phần trăm) trên tổng số tiền thu về phí, lệ phí để trang trải chi phí cho việc thực hiện công việc, dịch vụ, thu phí, lệ phí theo chế độ quy định;</w:t>
      </w:r>
    </w:p>
    <w:p>
      <w:pPr>
        <w:jc w:val="both"/>
      </w:pPr>
      <w:r>
        <w:t>2. Tổng số tiền phí, lệ phí thực thu được, sau khi trừ số tiền được trích theo tỷ lệ quy định tại khoản 1 Điều này, số còn lại (40%) cơ quan thu phí, lệ phí phải nộp ngân sách nhà nước theo chương, loại, khoản, mục, tiểu mục tương ứng của Mục lục ngân sách nhà nước hiện hành.</w:t>
      </w:r>
    </w:p>
    <w:p>
      <w:pPr>
        <w:jc w:val="both"/>
      </w:pPr>
      <w:r>
        <w:rPr>
          <w:b/>
        </w:rPr>
        <w:t>Điều 6.</w:t>
      </w:r>
    </w:p>
    <w:p>
      <w:pPr>
        <w:jc w:val="both"/>
      </w:pPr>
      <w:r>
        <w:t>1. Quyết định này có hiệu lực thi hành sau 15 ngày, kể từ ngày đăng Công báo.</w:t>
      </w:r>
    </w:p>
    <w:p>
      <w:pPr>
        <w:jc w:val="both"/>
      </w:pPr>
      <w:r>
        <w:t>2. Quyết định này thay thế Quyết định số 116/1999/QĐ-BTC ngày 21/9/1999 của Bộ trưởng Bộ Tài chính ban hành biểu mức thu lệ phí quản lý nhà nước về hàng không.</w:t>
      </w:r>
    </w:p>
    <w:p>
      <w:pPr>
        <w:jc w:val="both"/>
      </w:pPr>
      <w:r>
        <w:t>3. Các nội dung khác liên quan đến việc thu, nộp, quản lý, sử dụng, chứng từ thu, công khai chế độ thu phí, lệ phí không đề cập tại Quyết định này được thực hiện theo hướng dẫn tại Thông tư số 63/2002/TT-BTC ngày 24/7/2002 của Bộ Tài chính hướng dẫn thực hiện các quy định pháp luật về phí và lệ phí và Thông tư số 45/2006/TT-BTC ngày 25/5/2006 của Bộ Tài chính sửa đổi, bổ sung Thông tư số 63/2002/TT-BTC.</w:t>
      </w:r>
    </w:p>
    <w:p>
      <w:pPr>
        <w:jc w:val="both"/>
      </w:pPr>
      <w:r>
        <w:t>4. Trong quá trình thực hiện, nếu có vướng mắc đề nghị các tổ chức, cá nhân phản ánh kịp thời về Bộ Tài chính để nghiên cứu, hướng dẫn bổ sung./.</w:t>
      </w:r>
    </w:p>
    <w:p>
      <w:r>
        <w:rPr>
          <w:i/>
        </w:rPr>
        <w:t>Nguồn: Cơ sở dữ liệu quốc gia về văn bản pháp luật (Bộ Tư pháp). VietSmart Legal, legal.giangpham.asia/van-ban/14616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