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38/2007/QĐ-TTg</w:t>
      </w:r>
    </w:p>
    <w:p>
      <w:pPr>
        <w:jc w:val="both"/>
      </w:pPr>
      <w:r>
        <w:t>Hà Nội, ngày 20 tháng 3 năm 2007</w:t>
      </w:r>
    </w:p>
    <w:p>
      <w:pPr>
        <w:jc w:val="center"/>
      </w:pPr>
      <w:r>
        <w:rPr>
          <w:b/>
        </w:rPr>
        <w:t>QUYẾT ĐỊNH CỦA THỦ TƯỚNG CHÍNH PHỦ</w:t>
      </w:r>
    </w:p>
    <w:p>
      <w:pPr>
        <w:jc w:val="both"/>
      </w:pPr>
      <w:r>
        <w:t>Về ban hành tiêu chí, danh mục phân loại doanh nghiệp 100% vốn nhà nước</w:t>
      </w:r>
    </w:p>
    <w:p>
      <w:pPr>
        <w:jc w:val="both"/>
      </w:pPr>
      <w:r>
        <w:t>THỦ TƯỚNG 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29 tháng 11 năm 2005;</w:t>
      </w:r>
    </w:p>
    <w:p>
      <w:pPr>
        <w:jc w:val="both"/>
      </w:pPr>
      <w:r>
        <w:t>Xét đề nghị của Bộ trưởng Bộ Kế hoạch và Đầu tư.</w:t>
      </w:r>
    </w:p>
    <w:p>
      <w:pPr>
        <w:jc w:val="center"/>
      </w:pPr>
      <w:r>
        <w:rPr>
          <w:b/>
        </w:rPr>
        <w:t>QUYẾT ĐỊNH:</w:t>
      </w:r>
    </w:p>
    <w:p>
      <w:pPr>
        <w:jc w:val="both"/>
      </w:pPr>
      <w:r>
        <w:rPr>
          <w:b/>
        </w:rPr>
        <w:t>Điều 1. Ban hành kèm theo Quyết định này tiêu chí, danh mục phân loại doanh nghiệp 100% vốn nhà nước.</w:t>
      </w:r>
    </w:p>
    <w:p>
      <w:pPr>
        <w:jc w:val="both"/>
      </w:pPr>
      <w:r>
        <w:rPr>
          <w:b/>
        </w:rPr>
        <w:t>Điều 2. Đối tượng áp dụng của Quyết định này bao gồm các công ty nhà nước độc lập, công ty trách nhiệm hữu hạn một thành viên 100% vốn nhà nước, công ty thành viên hạch toán độc lập thuộc các tập đoàn kinh tế và tổng công ty nhà nước hiện có.</w:t>
      </w:r>
    </w:p>
    <w:p>
      <w:pPr>
        <w:jc w:val="both"/>
      </w:pPr>
      <w:r>
        <w:rPr>
          <w:b/>
        </w:rPr>
        <w:t>Điều 3. Quyết định này thay thế Quyết định số 155/2004/QĐ-TTg ngày 24 tháng 08 năm 2004 của Thủ tướng Chính phủ và có hiệu lực thi hành sau 15 ngày, kể từ ngày đăng Công báo.</w:t>
      </w:r>
    </w:p>
    <w:p>
      <w:pPr>
        <w:jc w:val="both"/>
      </w:pPr>
      <w:r>
        <w:t>Các Bộ trưởng, Thủ trưởng cơ quan ngang Bộ, Thủ trưởng cơ quan thuộc Chính phủ, Chủ tịch Ủy ban nhân dân tỉnh, thành phố trực thuộc Trung ương, Hội đồng quản trị tập đoàn kinh tế và Tổng công ty 91 có trách nhiệm căn cứ vào Quyết định này, tiếp tục phân loại, thực hiện sắp xếp các công ty nhà nước độc lập, công ty trách nhiệm hữu hạn một thành viên 100% vốn nhà nước, công ty thành viên hạch toán độc lập thuộc tập đoàn kinh tế và tổng công ty nhà nước hiện có thuộc mình quản lý, trình Thủ tướng Chính phủ trước ngày 31 tháng 05 năm 2007.</w:t>
      </w:r>
    </w:p>
    <w:p>
      <w:pPr>
        <w:jc w:val="both"/>
      </w:pPr>
      <w:r>
        <w:t>Bộ Kế hoạch và Đầu tư phối hợp Ban Chỉ đạo Đổi mới và Phát triển doanh nghiệp theo dõi, hướng dẫn, đôn đốc các Bộ, ngành, địa phương, tập đoàn kinh tế, Tổng công ty 91 thực hiện Quyết định này và định kỳ tổng hợp tình hình báo cáo Thủ tướng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legal.giangpham.asia/van-ban/14401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