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THÔNG TƯ</w:t>
      </w:r>
    </w:p>
    <w:p>
      <w:pPr>
        <w:jc w:val="both"/>
      </w:pPr>
      <w:r>
        <w:t>Sửa đổi, bổ sung Thông tư số 132/2004/TT-BTC ngày 30/12/2004</w:t>
      </w:r>
    </w:p>
    <w:p>
      <w:pPr>
        <w:jc w:val="both"/>
      </w:pPr>
      <w:r>
        <w:t>của Bộ Tài chính hướng dẫn chế độ thu, nộp quản lý và sử</w:t>
      </w:r>
    </w:p>
    <w:p>
      <w:pPr>
        <w:jc w:val="both"/>
      </w:pPr>
      <w:r>
        <w:t>dụng phí, lệ phí sở hữu công nghiệp</w:t>
      </w:r>
    </w:p>
    <w:p>
      <w:pPr>
        <w:jc w:val="both"/>
      </w:pPr>
      <w:r>
        <w:t>__________________</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Bộ Tài chính hướng dẫn sửa đổi, bổ sung Thông tư số 132/2004/TT-BTC ngày 30/12/2004 của Bộ Tài chính hướng dẫn chế độ thu, nộp, quản lý và sử dụng phí, lệ phí sở hữu công nghiệp, như sau:</w:t>
      </w:r>
    </w:p>
    <w:p>
      <w:pPr>
        <w:jc w:val="both"/>
      </w:pPr>
      <w:r>
        <w:t>1. Sửa đổi, bổ sung tiết b và tiết c điểm 3 mục III Thông tư số 132/2004/TT-BTC như sau:</w:t>
      </w:r>
    </w:p>
    <w:p>
      <w:pPr>
        <w:jc w:val="both"/>
      </w:pPr>
      <w:r>
        <w:t>"b) Định kỳ mỗi tháng một lần, cơ quan thu phí, lệ phí phải kê khai, làm thủ tục nộp 65% tổng số tiền phí, lệ phí thu được trong kỳ vào ngân sách nhà nước theo chương, loại, khoản, mục, tiểu mục tương ứng của Mục lục ngân sách nhà nước hiện hành.</w:t>
      </w:r>
    </w:p>
    <w:p>
      <w:pPr>
        <w:jc w:val="both"/>
      </w:pPr>
      <w:r>
        <w:t>c) Cơ quan thu phí, lệ phí được trích 35% tổng số tiền phí, lệ phí thu được trong tháng trước khi nộp ngân sách nhà nước, để trang trải chi phí cho việc thu phí, lệ phí theo những nội dung, công việc quy định tại tiết d dưới đây."</w:t>
      </w:r>
    </w:p>
    <w:p>
      <w:pPr>
        <w:jc w:val="both"/>
      </w:pPr>
      <w:r>
        <w:t>2. Sửa đổi, bổ sung khoản (i) tiết d điểm 3 mục III Thông tư số 132/2004/TT-BTC như sau:</w:t>
      </w:r>
    </w:p>
    <w:p>
      <w:pPr>
        <w:jc w:val="both"/>
      </w:pPr>
      <w:r>
        <w:t>"(i) Chi thanh toán cho cá nhân trực tiếp thực hiện công việc, dịch vụ và thu phí, lệ phí: tiền lương, tiền công, phụ cấp lương, các khoản đóng góp theo quy định được tính trên tiền lương (bảo hiểm y tế, bảo hiểm xã hội và công đoàn phí), trừ chi phí tiền lương cho cán bộ, công chức đã hưởng lương từ ngân sách nhà nước theo chế độ quy định;"</w:t>
      </w:r>
    </w:p>
    <w:p>
      <w:pPr>
        <w:jc w:val="both"/>
      </w:pPr>
      <w:r>
        <w:t>3. Thông tư này có hiệu lực thi hành sau 15 ngày, kể từ ngày đăng Công báo.</w:t>
      </w:r>
    </w:p>
    <w:p>
      <w:pPr>
        <w:jc w:val="both"/>
      </w:pPr>
      <w:r>
        <w:t>4. Trong quá trình thực hiện, nếu có vướng mắc đề nghị các tổ chức, cá nhân phản ánh kịp thời về Bộ Tài chính để nghiên cứu, hướng dẫn bổ sung./.</w:t>
      </w:r>
    </w:p>
    <w:p>
      <w:r>
        <w:rPr>
          <w:i/>
        </w:rPr>
        <w:t>Nguồn: Cơ sở dữ liệu quốc gia về văn bản pháp luật (Bộ Tư pháp). VietSmart Legal, legal.giangpham.asia/van-ban/14310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