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60/2020/TT-BTC</w:t>
      </w:r>
    </w:p>
    <w:p>
      <w:pPr>
        <w:jc w:val="both"/>
      </w:pPr>
      <w:r>
        <w:t>Hà Nội, ngày 19 tháng 6 năm 2020</w:t>
      </w:r>
    </w:p>
    <w:p>
      <w:pPr>
        <w:jc w:val="center"/>
      </w:pPr>
      <w:r>
        <w:rPr>
          <w:b/>
        </w:rPr>
        <w:t>THÔNG TƯ</w:t>
      </w:r>
    </w:p>
    <w:p>
      <w:pPr>
        <w:jc w:val="both"/>
      </w:pPr>
      <w:r>
        <w:t>Thông tư bãi bỏ một số văn bản quy phạm pháp luật do Bộ trưởng Bộ Tài</w:t>
      </w:r>
    </w:p>
    <w:p>
      <w:pPr>
        <w:jc w:val="both"/>
      </w:pPr>
      <w:r>
        <w:t>chính ban hành trong lĩnh vục tài chính doanh nghiệp</w:t>
      </w:r>
    </w:p>
    <w:p>
      <w:pPr>
        <w:jc w:val="both"/>
      </w:pPr>
      <w:r>
        <w:t>____________________</w:t>
      </w:r>
    </w:p>
    <w:p>
      <w:pPr>
        <w:jc w:val="both"/>
      </w:pPr>
      <w:r>
        <w:t>Căn cứ Luật ban hành văn bản quy phạm pháp luật ngày 22 tháng 6 năm năm 2015;</w:t>
      </w:r>
    </w:p>
    <w:p>
      <w:pPr>
        <w:jc w:val="both"/>
      </w:pPr>
      <w:r>
        <w:t>Căn cứ Nghị định số 34/2016/NĐ-CP ngày 14 thảng 5 năm 2016 của Chính phủ quy định chi tiết một số điều và biện pháp thi hành Luật ban hành văn bản quy phạm pháp luật;</w:t>
      </w:r>
    </w:p>
    <w:p>
      <w:pPr>
        <w:jc w:val="both"/>
      </w:pPr>
      <w:r>
        <w:t>Căn cứ Nghị định số 87/2017/NĐ-CP ngày 26 tháng 7 năm 2017 của Chính phủ quy định chức năng, nhiệm vụ, quyền hạn và cơ cẩu tố chức của Bộ Tài chính;</w:t>
      </w:r>
    </w:p>
    <w:p>
      <w:pPr>
        <w:jc w:val="both"/>
      </w:pPr>
      <w:r>
        <w:t>Theo đề nghị của Cục trưởng Cục Tài chính doanh nghiệp,</w:t>
      </w:r>
    </w:p>
    <w:p>
      <w:pPr>
        <w:jc w:val="both"/>
      </w:pPr>
      <w:r>
        <w:t>Bộ trưởng Bộ Tài chỉnh ban hành Thông tư bãi bỏ một số văn bản quy phạm pháp luật do Bộ trưởng Bộ Tài chính ban hành trong lĩnh vực tài chính doanh nghiệp như sau:</w:t>
      </w:r>
    </w:p>
    <w:p>
      <w:pPr>
        <w:jc w:val="both"/>
      </w:pPr>
      <w:r>
        <w:rPr>
          <w:b/>
        </w:rPr>
        <w:t>Điều 1. Bãi bỏ toàn bộ văn bản quy phạm pháp luật</w:t>
      </w:r>
    </w:p>
    <w:p>
      <w:pPr>
        <w:jc w:val="both"/>
      </w:pPr>
      <w:r>
        <w:t>Bãi bỏ toàn bộ các văn bản quy phạm pháp luật do Bộ trưởng Bộ Tài chính ban hành trong lĩnh vực tài chính doanh nghiệp sau đây:</w:t>
      </w:r>
    </w:p>
    <w:p>
      <w:pPr>
        <w:jc w:val="both"/>
      </w:pPr>
      <w:r>
        <w:t>1. Thông tư số 206/2012/TT-BTC ngày 26/11/2012 của Bộ Tài chính hướng dẫn lập, quản lý và sử dụng quỹ tập trung của của Tập đoàn công nghiệp Than khoáng sản Việt Nam.</w:t>
      </w:r>
    </w:p>
    <w:p>
      <w:pPr>
        <w:jc w:val="both"/>
      </w:pPr>
      <w:r>
        <w:t>2. Thông tư số 21/2014/TT-BTC ngày 14/2/2014 của Bộ Tài chính ban hành quy chế hoạt động của người đại diện theo ủy quyền đối với phần vốn nhà nước đầu tư vào doanh nghiệp.</w:t>
      </w:r>
    </w:p>
    <w:p>
      <w:pPr>
        <w:jc w:val="both"/>
      </w:pPr>
      <w:r>
        <w:t>3. Thông tư số 198/2011/TT-BTC ngày 30/12/2011 của Bộ Tài chính hướng dẫn việc thu, quản lý, sử dụng, nộp ngân sách nhà nước phí hoa tiêu hàng hải và cơ chế đặt hàng cung ứng dịch vụ hoa tiêu hàng hải.</w:t>
      </w:r>
    </w:p>
    <w:p>
      <w:pPr>
        <w:jc w:val="both"/>
      </w:pPr>
      <w:r>
        <w:t>4. Thông tư số 131/2010/TT-BTC ngày 06/9/2010 của Bộ Tài chính hướng dẫn thực hiện Quy chế góp vốn, mua cổ phần của nhà đầu tư nước ngoài trong các doanh nghiệp Việt Nam.</w:t>
      </w:r>
    </w:p>
    <w:p>
      <w:pPr>
        <w:jc w:val="both"/>
      </w:pPr>
      <w:r>
        <w:t>5. Thông tư số 92/2007/TT-BTC ngày 31/7/2007 của Bộ Tài chính hướng dẫn xác định tiền sử dụng đất, tiền nhận chuyển nhượng quyền sử dụng đất đã trả có nguồn gốc ngân sách nhà nưóc.</w:t>
      </w:r>
    </w:p>
    <w:p>
      <w:pPr>
        <w:jc w:val="both"/>
      </w:pPr>
      <w:r>
        <w:t>6. Thông tư số 41/2013/TT-BTC ngày 11/4/2013 của Bộ Tài chính hướng dẫn thi hành một số điều của Nghị định số 67/2012/NĐ-CP ngày 10/9/2012 sửa đổi, bổ sung một số điều của Nghị định số 143/2003/NĐ-CP ngày 28/11/2003 của Chính phủ thi hành chi tiểt một số điều của Pháp lệnh khai thác và bảo vệ công trình thủy lợi.</w:t>
      </w:r>
    </w:p>
    <w:p>
      <w:pPr>
        <w:jc w:val="both"/>
      </w:pPr>
      <w:r>
        <w:t>7. Thông tư số 178/2014/TT-BTC ngày 26/11/2014 của Bộ Tài chính hướng dẫn một số nội dung về tài chính khi thực hiện đấu thầu, đặt hàng, giao kế hoạch đối với các đơn vị làm nhiệm vụ quản lý khai thác công trình thủy lợi.</w:t>
      </w:r>
    </w:p>
    <w:p>
      <w:pPr>
        <w:jc w:val="both"/>
      </w:pPr>
      <w:r>
        <w:t>8. Quyết định số 104/2008/QĐ-BTC ngày 13/11/2008 của Bộ Tài chính về việc sửa đổi, bổ sung Quy chế quản lý và sử dụng Quỹ hỗ trợ sắp xếp doanh nghiệp tại các Tập đoàn, Tổng công ty nhà nước, công ty mẹ ban hành kèm theo Quyết định số 09/2008/QĐ-BTC ngày 31/01/2008 của Bộ trưởng Bộ Tài chính.</w:t>
      </w:r>
    </w:p>
    <w:p>
      <w:pPr>
        <w:jc w:val="both"/>
      </w:pPr>
      <w:r>
        <w:rPr>
          <w:b/>
        </w:rPr>
        <w:t>Điều 2. Tổ chức thực hiện</w:t>
      </w:r>
    </w:p>
    <w:p>
      <w:pPr>
        <w:jc w:val="both"/>
      </w:pPr>
      <w:r>
        <w:t>1. Thông tư này có hiệu lực thi hành kể từ ngày 03 tháng 08 năm 2020.</w:t>
      </w:r>
    </w:p>
    <w:p>
      <w:pPr>
        <w:jc w:val="both"/>
      </w:pPr>
      <w:r>
        <w:t>2. Cục trưởng Cục Tài chính doanh nghiệp, Thủ trưởng các đơn vị thuộc Bộ Tài chính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legal.giangpham.asia/van-ban/142972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