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việc ban hành Quy tắc và Biểu phí bảo hiểm cháy, nổ bắt buộc</w:t>
      </w:r>
    </w:p>
    <w:p>
      <w:pPr>
        <w:jc w:val="both"/>
      </w:pPr>
      <w:r>
        <w:t>____________________________</w:t>
      </w:r>
    </w:p>
    <w:p>
      <w:pPr>
        <w:jc w:val="both"/>
      </w:pPr>
      <w:r>
        <w:t>BỘ TRƯỞNG BỘ TÀI CHÍNH</w:t>
      </w:r>
    </w:p>
    <w:p>
      <w:pPr>
        <w:jc w:val="both"/>
      </w:pPr>
      <w:r>
        <w:t>Căn cứ Luật kinh doanh bảo hiểm số 24/2000/QH10 ngày 09/12/2000;</w:t>
      </w:r>
    </w:p>
    <w:p>
      <w:pPr>
        <w:jc w:val="both"/>
      </w:pPr>
      <w:r>
        <w:t>Căn cứ Nghị định số 45/2007/NĐ-CP ngày 27/03/2007 của Chính phủ quy định chi tiết thi hành một số điều của Luật kinh doanh bảo hiểm;</w:t>
      </w:r>
    </w:p>
    <w:p>
      <w:pPr>
        <w:jc w:val="both"/>
      </w:pPr>
      <w:r>
        <w:t>Căn cứ Nghị định số 77/2003/NĐ-CP ngày 01/08/2003 của Chính phủ quy định chức năng, nhiệm vụ, quyền hạn và cơ cấu tổ chức của Bộ Tài chính;</w:t>
      </w:r>
    </w:p>
    <w:p>
      <w:pPr>
        <w:jc w:val="both"/>
      </w:pPr>
      <w:r>
        <w:t>Căn cứ Nghị định số 35/2003/NĐ-CP ngày 04/04/2003 của Chính phủ quy định chi tiết thi hành một số điều của Luật Phòng cháy và chữa cháy;</w:t>
      </w:r>
    </w:p>
    <w:p>
      <w:pPr>
        <w:jc w:val="both"/>
      </w:pPr>
      <w:r>
        <w:t>Căn cứ Nghị định số 130/2006/NĐ-CP ngày 08/11/2006 của Chính phủ quy định chế độ bảo hiểm cháy, nổ bắt buộc;</w:t>
      </w:r>
    </w:p>
    <w:p>
      <w:pPr>
        <w:jc w:val="both"/>
      </w:pPr>
      <w:r>
        <w:t>Theo đề nghị của Vụ trưởng Vụ Bảo hiểm.</w:t>
      </w:r>
    </w:p>
    <w:p>
      <w:pPr>
        <w:jc w:val="center"/>
      </w:pPr>
      <w:r>
        <w:rPr>
          <w:b/>
        </w:rPr>
        <w:t>QUYẾT ĐỊNH:</w:t>
      </w:r>
    </w:p>
    <w:p>
      <w:pPr>
        <w:jc w:val="both"/>
      </w:pPr>
      <w:r>
        <w:rPr>
          <w:b/>
        </w:rPr>
        <w:t>Điều 1. Ban hành kèm theo Quyết định này Quy tắc và Biểu phí bảo hiểm cháy, nổ bắt buộc.</w:t>
      </w:r>
    </w:p>
    <w:p>
      <w:pPr>
        <w:jc w:val="both"/>
      </w:pPr>
      <w:r>
        <w:rPr>
          <w:b/>
        </w:rPr>
        <w:t>Điều 2. Trên cơ sở đảm bảo khả năng thanh toán, các doanh nghiệp bảo hiểm được chủ động điều chỉnh tăng, giảm mức phí bảo hiểm trong phạm vi 25% so với Biểu phí bảo hiểm ban hành tại Quyết định này phù hợp với điều kiện, điều khoản bảo hiểm giao kết.</w:t>
      </w:r>
    </w:p>
    <w:p>
      <w:pPr>
        <w:jc w:val="both"/>
      </w:pPr>
      <w:r>
        <w:rPr>
          <w:b/>
        </w:rPr>
        <w:t>Điều 3. Đối với các cơ sở có nguy hiểm cháy, nổ mang tính đặc thù chưa được đề cập hoặc đề cập chưa đầy đủ trong Quy tắc, Biểu phí do Bộ Tài chính ban hành, doanh nghiệp bảo hiểm và bên mua bảo hiểm được phép thỏa thuận về điều kiện bảo hiểm, phí bảo hiểm để tiến hành bảo hiểm kịp thời và phải báo cáo Bộ Tài chính để theo dõi, quản lý.</w:t>
      </w:r>
    </w:p>
    <w:p>
      <w:pPr>
        <w:jc w:val="both"/>
      </w:pPr>
      <w:r>
        <w:rPr>
          <w:b/>
        </w:rPr>
        <w:t>Điều 4. Quyết định này có hiệu lực sau 15 ngày, kể từ ngày đăng Công báo.</w:t>
      </w:r>
    </w:p>
    <w:p>
      <w:pPr>
        <w:jc w:val="both"/>
      </w:pPr>
      <w:r>
        <w:rPr>
          <w:b/>
        </w:rPr>
        <w:t>Điều 5. Vụ trưởng Vụ Bảo hiểm, Chánh Văn phòng Bộ Tài chính và Thủ trưởng các đơn vị có liên quan chịu trách nhiệm kiểm tra, giám sát việc thi hành Quyết định này./.</w:t>
      </w:r>
    </w:p>
    <w:p>
      <w:r>
        <w:rPr>
          <w:i/>
        </w:rPr>
        <w:t>Nguồn: Cơ sở dữ liệu quốc gia về văn bản pháp luật (Bộ Tư pháp). VietSmart Legal, legal.giangpham.asia/van-ban/13953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