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23/2019/TT-NHNN</w:t>
      </w:r>
    </w:p>
    <w:p>
      <w:pPr>
        <w:jc w:val="both"/>
      </w:pPr>
      <w:r>
        <w:t>Hà Nội , ngày 22 tháng 11 năm 2019</w:t>
      </w:r>
    </w:p>
    <w:p>
      <w:pPr>
        <w:jc w:val="center"/>
      </w:pPr>
      <w:r>
        <w:rPr>
          <w:b/>
        </w:rPr>
        <w:t>THÔNG TƯ</w:t>
      </w:r>
    </w:p>
    <w:p>
      <w:pPr>
        <w:jc w:val="both"/>
      </w:pPr>
      <w:r>
        <w:t>Sửa đổi, bổ sung một số điều của Thông tư số 39/2014/TT-NHNN</w:t>
      </w:r>
    </w:p>
    <w:p>
      <w:pPr>
        <w:jc w:val="both"/>
      </w:pPr>
      <w:r>
        <w:t>ngày 11 tháng 12 năm 2014 của Thống đốc Ngân hàng Nhà nước Việt Nam</w:t>
      </w:r>
    </w:p>
    <w:p>
      <w:pPr>
        <w:jc w:val="both"/>
      </w:pPr>
      <w:r>
        <w:t>hướng dẫn về dịch vụ trung gian thanh toán</w:t>
      </w:r>
    </w:p>
    <w:p>
      <w:pPr>
        <w:jc w:val="both"/>
      </w:pPr>
      <w:r>
        <w:t>Căn cứ Luật Ngân hàng Nhà nước Việt Nam ngày 16 tháng 6 năm 2010;</w:t>
      </w:r>
    </w:p>
    <w:p>
      <w:pPr>
        <w:jc w:val="both"/>
      </w:pPr>
      <w:r>
        <w:t>Căn cứ Luật Các tổ chức tín dụng ngày 16 tháng 6 năm 2010 và Luật sửa đổi, bổ sung một s ố điều của Luật Các tổ chức tín dụng ngày 20 th á ng 11 năm 2017;</w:t>
      </w:r>
    </w:p>
    <w:p>
      <w:pPr>
        <w:jc w:val="both"/>
      </w:pPr>
      <w:r>
        <w:t>Căn cứ Nghị định số 101/2012/NĐ-CP ngày 22 tháng 11 năm 2 0 12 của Ch í nh phủ về thanh toán không d ù ng tiền mặt; Nghị định số 80/20 1 6/NĐ-CP ngày 01 tháng 7 năm 2016 của Ch í nh phủ sửa đ ổ i, bổ sung một số điều của Nghị định s ố 101/2012/NĐ-CP; Nghị định s ố 16/2019/NĐ-CP ngày 01 th á ng 02 năm 2019 của Ch í nh phủ sửa đổi, bổ sung một s ố điều của các Nghị định quy định về điều kiện kinh doanh thuộc phạm vi quản lý nhà nước của Ngân hàng Nhà nước Việt Nam;</w:t>
      </w:r>
    </w:p>
    <w:p>
      <w:pPr>
        <w:jc w:val="both"/>
      </w:pPr>
      <w:r>
        <w:t>Căn cứ Nghị định s ố 16/2017/NĐ-CP ngày 17 tháng 02 năm 2017 của Chính phủ quy định chức năng, nhiệm vụ, quyền hạn và cơ c ấ u tổ chức của Ngân hàng Nhà nước Việt Nam;</w:t>
      </w:r>
    </w:p>
    <w:p>
      <w:pPr>
        <w:jc w:val="both"/>
      </w:pPr>
      <w:r>
        <w:t>Theo đề nghị của Vụ trưởng Vụ Thanh toán;</w:t>
      </w:r>
    </w:p>
    <w:p>
      <w:pPr>
        <w:jc w:val="both"/>
      </w:pPr>
      <w:r>
        <w:t>Thống đốc Ngân hàng Nhà nước Việt Nam ban hành Thông tư sửa đổi, bổ sung một số điều của Thông tư s ố 39/2014/TT-NHNN ng à y 11 tháng 12 năm 2014 của Thống đốc Ngân hàng Nhà nước Việt Nam hướng dẫn về dịch vụ trung gian thanh toán.</w:t>
      </w:r>
    </w:p>
    <w:p>
      <w:pPr>
        <w:jc w:val="both"/>
      </w:pPr>
      <w:r>
        <w:rPr>
          <w:b/>
        </w:rPr>
        <w:t>Điều 1. Sửa đổi, bổ sung một số điều của Thông tư số 39/2014/TT-NHNN ngày 11 tháng 12 năm 2014 của Thống đốc Ngân hàng Nhà nước Việt Nam hướng dẫn về dịch vụ trung gian thanh toán</w:t>
      </w:r>
    </w:p>
    <w:p>
      <w:pPr>
        <w:jc w:val="both"/>
      </w:pPr>
      <w:r>
        <w:t>1. Sửa đổi, bổ sung khoản 2, khoản 7 và bổ sung khoản 9, 10, 11, 12, 13, 14, 15, 16, 17, 18 và 19 vào Điều 3 như sau:</w:t>
      </w:r>
    </w:p>
    <w:p>
      <w:pPr>
        <w:jc w:val="both"/>
      </w:pPr>
      <w:r>
        <w:t>“2. Dịch vụ bù trừ điện tử là dịch vụ cung ứng hạ tầng kỹ thuật để thực hiện việc tiếp nhận, đối chiếu dữ liệu thanh toán và tính toán kết quả số tiền phải thu, phải trả sau khi bù trừ giữa các thành viên tham gia để thực hiện việc quyết toán cho các bên có liên quan.”.</w:t>
      </w:r>
    </w:p>
    <w:p>
      <w:pPr>
        <w:jc w:val="both"/>
      </w:pPr>
      <w:r>
        <w:t>“7. Tài khoản đảm bảo thanh toán là tài khoản thanh toán bằng đồng Việt Nam của tổ chức cung ứng dịch vụ hỗ trợ dịch vụ thanh toán mở tại ngân hàng hợp tác để đảm bảo cho việc cung ứng các dịch vụ hỗ trợ dịch vụ thanh toán.”.</w:t>
      </w:r>
    </w:p>
    <w:p>
      <w:pPr>
        <w:jc w:val="both"/>
      </w:pPr>
      <w:r>
        <w:t>“9. Tổ chức chủ trì hệ thống bù trừ điện tử (sau đây gọi là Tổ chức chủ trì BTĐT) là tổ chức cung ứng dịch vụ trung gian thanh toán được Ngân hàng Nhà nước Việt Nam (sau đây gọi là Ngân hàng Nhà nước) cấp phép cung ứng dịch vụ chuyển mạch tài chính, dịch vụ bù trừ điện tử và được tham gia, kết nối trực tiếp vào Hệ thống thanh toán điện tử liên ngân hàng Quốc gia (Hệ thống TTĐTLNH) để thực hiện quyết toán bù trừ điện tử.</w:t>
      </w:r>
    </w:p>
    <w:p>
      <w:pPr>
        <w:jc w:val="both"/>
      </w:pPr>
      <w:r>
        <w:t>10. Hệ thống bù trừ điện tử (sau đây gọi là Hệ thống BTĐT) là hệ thống thanh toán do Tổ chức chủ trì BTĐT xây dựng, sở hữu và tổ chức vận hành để cung ứng dịch vụ chuyển mạch tài chính và bù trừ điện tử.</w:t>
      </w:r>
    </w:p>
    <w:p>
      <w:pPr>
        <w:jc w:val="both"/>
      </w:pPr>
      <w:r>
        <w:t>11. Thành viên của Hệ thống BTĐT (sau đây gọi là thành viên) là tổ chức cung ứng dịch vụ thanh toán, tổ chức cung ứng dịch vụ trung gian thanh toán và tổ chức khác đáp ứng các yêu cầu, tiêu chuẩn thành viên theo quy định của Tổ chức chủ trì BTĐT và được kết nối với Hệ thống BTĐT để gửi, nhận và xử lý giao dịch thanh toán. Thành viên gồm thành viên quyết toán và thành viên không quyết toán.</w:t>
      </w:r>
    </w:p>
    <w:p>
      <w:pPr>
        <w:jc w:val="both"/>
      </w:pPr>
      <w:r>
        <w:t>12. Thành viên quyết toán là thành viên có thiết lập Hạn mức nợ ròng trong thanh toán bù trừ điện tử quy định tại khoản 14 Điều này để thực hiện giao dịch thanh toán qua Hệ thống BTĐT và mở tài khoản thanh toán tại Ngân hàng Nhà nước (Sở Giao dịch) để quyết toán bù trừ điện tử.</w:t>
      </w:r>
    </w:p>
    <w:p>
      <w:pPr>
        <w:jc w:val="both"/>
      </w:pPr>
      <w:r>
        <w:t>13. Thành viên không quyết toán là thành viên thực hiện các nghĩa vụ thanh toán, quyết toán trong giao dịch chuyển mạch tài chính và bù trừ điện tử thông qua thành viên quyết toán.</w:t>
      </w:r>
    </w:p>
    <w:p>
      <w:pPr>
        <w:jc w:val="both"/>
      </w:pPr>
      <w:r>
        <w:t>14. Hạn mức nợ ròng trong thanh toán bù trừ điện tử (sau đây gọi là Hạn mức BTĐT) là mức giới hạn giá trị thanh toán tối đa đối với khoản chênh lệch bù trừ phải trả của thành viên quyết toán trong phiên giao dịch bù trừ điện tử.</w:t>
      </w:r>
    </w:p>
    <w:p>
      <w:pPr>
        <w:jc w:val="both"/>
      </w:pPr>
      <w:r>
        <w:t>15. Kết quả quyết toán ròng bù trừ điện tử (sau đây gọi là kết quả BTĐT) là bảng số liệu do Tổ chức chủ trì BTĐT lập sau khi kết thúc mỗi phiên giao dịch bù trừ điện tử, phản ánh tổng hợp chênh lệch phải thu, phải trả cuối cùng của từng thành viên quyết toán trong phiên giao dịch đó.</w:t>
      </w:r>
    </w:p>
    <w:p>
      <w:pPr>
        <w:jc w:val="both"/>
      </w:pPr>
      <w:r>
        <w:t>16. Quyết toán bù trừ điện tử (sau đây gọi là quyết toán BTĐT) là việc thực hiện thanh toán các khoản chênh lệch phải thu, phải trả theo kết quả quyết toán ròng thông qua tài khoản thanh toán của các thành viên quyết toán tại Ngân hàng Nhà nước (Sở Giao dịch). Tổ chức chủ trì BTĐT gửi Ngân hàng Nhà nước (qua hệ thống TTĐTLNH) kết quả BTĐT để thực hiện việc xử lý quyết toán BTĐT.</w:t>
      </w:r>
    </w:p>
    <w:p>
      <w:pPr>
        <w:jc w:val="both"/>
      </w:pPr>
      <w:r>
        <w:t>17. Khả năng chi trả của thành viên quyết toán (sau đây gọi là khả năng chi trả) là số dư Có trên tài khoản thanh toán của thành viên quyết toán tại Ngân hàng Nhà nước (Sở Giao dịch) tại thời điểm xử lý quyết toán BTĐT.</w:t>
      </w:r>
    </w:p>
    <w:p>
      <w:pPr>
        <w:jc w:val="both"/>
      </w:pPr>
      <w:r>
        <w:t>18. Ngân hàng hợp tác là ngân hàng, chi nhánh ngân hàng nước ngoài có ký hợp đồng hoặc thỏa thuận với tổ chức cung ứng dịch vụ trung gian thanh toán về việc hợp tác cung ứng các dịch vụ trung gian thanh toán cho khách hàng.</w:t>
      </w:r>
    </w:p>
    <w:p>
      <w:pPr>
        <w:jc w:val="both"/>
      </w:pPr>
      <w:r>
        <w:t>19. Ngân hàng liên kết là ngân hàng, chi nhánh ngân hàng nước ngoài nơi khách hàng sử dụng Ví điện tử mở tài khoản thanh toán và/hoặc thẻ ghi nợ, trong đó tài khoản thanh toán và/hoặc thẻ ghi nợ này được khách hàng sử dụng để liên kết với Ví điện tử của khách hàng.</w:t>
      </w:r>
    </w:p>
    <w:p>
      <w:pPr>
        <w:jc w:val="both"/>
      </w:pPr>
      <w:r>
        <w:t>Ngân hàng liên kết thực hiện liên kết Ví điện tử với tài khoản thanh toán (hoặc thẻ ghi nợ) của khách hàng thông qua kết nối trực tiếp với tổ chức cung ứng dịch vụ Ví điện tử (trường hợp ngân hàng liên kết đồng thời là ngân hàng hợp tác) hoặc thông qua kết nối giữa tổ chức cung ứng dịch vụ Ví điện tử và tổ chức cung ứng dịch vụ chuyển mạch tài chính và dịch vụ bù trừ điện tử (trong trường hợp tổ chức cung ứng dịch vụ chuyển mạch tài chính và dịch vụ bù trừ điện từ đã có thỏa thuận với ngân hàng liên kết về việc liên kết Ví điện tử với tài khoản thanh toán (hoặc thẻ ghi nợ) mở tại ngân hàng liên kết).”.</w:t>
      </w:r>
    </w:p>
    <w:p>
      <w:pPr>
        <w:jc w:val="both"/>
      </w:pPr>
      <w:r>
        <w:t>2. Điều 8 được sửa đổi, bổ sung như sau:</w:t>
      </w:r>
    </w:p>
    <w:p>
      <w:pPr>
        <w:jc w:val="both"/>
      </w:pPr>
      <w:r>
        <w:t>“Điều 8. Đảm bảo khả năng thanh toán</w:t>
      </w:r>
    </w:p>
    <w:p>
      <w:pPr>
        <w:jc w:val="both"/>
      </w:pPr>
      <w:r>
        <w:t>1. Tổ chức cung ứng dịch vụ hỗ trợ thu hộ, chi hộ phải thỏa thuận với ngân hàng hợp tác về các biện pháp đảm bảo khả năng thanh toán cho việc cung ứng dịch vụ này, bao gồm việc mở tài khoản đảm bảo thanh toán cho dịch vụ hỗ trợ thu hộ, chi hộ hoặc duy trì khoản tiền ký quỹ hoặc các biện pháp đảm bảo khác.</w:t>
      </w:r>
    </w:p>
    <w:p>
      <w:pPr>
        <w:jc w:val="both"/>
      </w:pPr>
      <w:r>
        <w:t>2. Tổ chức cung ứng dịch vụ Ví điện tử phải mở tài khoản đảm bảo thanh toán để đảm bảo cho việc cung ứng dịch vụ này. Tài khoản đảm bảo thanh toán cho dịch vụ Ví điện tử không được sử dụng chung với tài khoản đảm bảo thanh toán cho dịch vụ hỗ trợ thu hộ, chi hộ (nếu có) và phải tách bạch với các tài khoản thanh toán khác tại ngân hàng hợp tác.</w:t>
      </w:r>
    </w:p>
    <w:p>
      <w:pPr>
        <w:jc w:val="both"/>
      </w:pPr>
      <w:r>
        <w:t>Tổ chức cung ứng dịch vụ Ví điện tử có nghĩa vụ duy trì tổng số dư trên tất cả các tài khoản đảm bảo thanh toán cho dịch vụ Ví điện tử mở tại các ngân hàng hợp tác không thấp hơn so với tổng số dư của tất cả các Ví điện tử của các khách hàng tại cùng một thời điểm.</w:t>
      </w:r>
    </w:p>
    <w:p>
      <w:pPr>
        <w:jc w:val="both"/>
      </w:pPr>
      <w:r>
        <w:t>3. Tài khoản đảm bảo thanh toán cho dịch vụ Ví điện tử chỉ được sử dụng vào việc:</w:t>
      </w:r>
    </w:p>
    <w:p>
      <w:pPr>
        <w:jc w:val="both"/>
      </w:pPr>
      <w:r>
        <w:t>a) Thanh toán vào tài khoản thanh toán hoặc thẻ ghi nợ của đơn vị chấp nhận thanh toán tại ngân hàng;</w:t>
      </w:r>
    </w:p>
    <w:p>
      <w:pPr>
        <w:jc w:val="both"/>
      </w:pPr>
      <w:r>
        <w:t>b) Hoàn trả tiền vào tài khoản thanh toán hoặc thẻ ghi nợ của khách hàng (chủ Ví điện tử) trong trường hợp:</w:t>
      </w:r>
    </w:p>
    <w:p>
      <w:pPr>
        <w:jc w:val="both"/>
      </w:pPr>
      <w:r>
        <w:t>(i) Khách hàng rút tiền ra khỏi Ví điện tử về tài khoản thanh toán hoặc thẻ ghi nợ của khách hàng;</w:t>
      </w:r>
    </w:p>
    <w:p>
      <w:pPr>
        <w:jc w:val="both"/>
      </w:pPr>
      <w:r>
        <w:t>(ii) Khách hàng không còn nhu cầu sử dụng Ví điện tử;</w:t>
      </w:r>
    </w:p>
    <w:p>
      <w:pPr>
        <w:jc w:val="both"/>
      </w:pPr>
      <w:r>
        <w:t>(iii) Tổ chức cung ứng dịch vụ Ví điện tử chấm dứt cung ứng dịch vụ Ví điện tử cho khách hàng;</w:t>
      </w:r>
    </w:p>
    <w:p>
      <w:pPr>
        <w:jc w:val="both"/>
      </w:pPr>
      <w:r>
        <w:t>(iv) Tổ chức cung ứng dịch vụ Ví điện tử chấm dứt hoạt động, bị thu hồi Giấy phép, giải thể hoặc phá sản theo quy định của pháp luật;</w:t>
      </w:r>
    </w:p>
    <w:p>
      <w:pPr>
        <w:jc w:val="both"/>
      </w:pPr>
      <w:r>
        <w:t>c) Thanh toán vào tài khoản thanh toán của các đơn vị cung ứng dịch vụ công trong trường hợp khách hàng sử dụng Ví điện tử để thanh toán, nộp phí, lệ phí cho các dịch vụ công hợp pháp theo quy định của pháp luật;</w:t>
      </w:r>
    </w:p>
    <w:p>
      <w:pPr>
        <w:jc w:val="both"/>
      </w:pPr>
      <w:r>
        <w:t>d) Chuyển đến các tài khoản đảm bảo thanh toán cho dịch vụ Ví điện tử khác do cùng tổ chức cung ứng dịch vụ Ví điện tử mở.”.</w:t>
      </w:r>
    </w:p>
    <w:p>
      <w:pPr>
        <w:jc w:val="both"/>
      </w:pPr>
      <w:r>
        <w:t>3. Điều 9 được sửa đổi, bổ sung như sau:</w:t>
      </w:r>
    </w:p>
    <w:p>
      <w:pPr>
        <w:jc w:val="both"/>
      </w:pPr>
      <w:r>
        <w:t>“Điều 9. Hoạt động cung ứng Ví điện tử</w:t>
      </w:r>
    </w:p>
    <w:p>
      <w:pPr>
        <w:jc w:val="both"/>
      </w:pPr>
      <w:r>
        <w:t>1. Hồ sơ mở Ví điện tử:</w:t>
      </w:r>
    </w:p>
    <w:p>
      <w:pPr>
        <w:jc w:val="both"/>
      </w:pPr>
      <w:r>
        <w:t>a) Đối với Ví điện tử của cá nhân:</w:t>
      </w:r>
    </w:p>
    <w:p>
      <w:pPr>
        <w:jc w:val="both"/>
      </w:pPr>
      <w:r>
        <w:t>(i) Thông tin của cá nhân mở Ví điện tử theo yêu cầu của tổ chức cung ứng dịch vụ Ví điện tử và phù hợp với quy định tại khoản 2 Điều này;</w:t>
      </w:r>
    </w:p>
    <w:p>
      <w:pPr>
        <w:jc w:val="both"/>
      </w:pPr>
      <w:r>
        <w:t>(ii) Căn cước công dân hoặc chứng minh nhân dân hoặc hộ chiếu còn thời hạn, giấy khai sinh (đối với cá nhân là công dân Việt Nam chưa đủ 14 tuổi); thị thực nhập cảnh hoặc giấy tờ chứng minh được miễn thị thực nhập cảnh của cá nhân mở Ví điện tử (đối với cá nhân là người nước ngoài);</w:t>
      </w:r>
    </w:p>
    <w:p>
      <w:pPr>
        <w:jc w:val="both"/>
      </w:pPr>
      <w:r>
        <w:t>b) Đối với Ví điện tử của tổ chức:</w:t>
      </w:r>
    </w:p>
    <w:p>
      <w:pPr>
        <w:jc w:val="both"/>
      </w:pPr>
      <w:r>
        <w:t>(i) Thông tin của tổ chức mở Ví điện tử theo yêu cầu của tổ chức cung ứng dịch vụ Ví điện tử và phù hợp với quy định tại khoản 2 Điều này;</w:t>
      </w:r>
    </w:p>
    <w:p>
      <w:pPr>
        <w:jc w:val="both"/>
      </w:pPr>
      <w:r>
        <w:t>(ii) Một trong các giấy tờ chứng minh việc tổ chức mở Ví điện tử được thành lập và hoạt động hợp pháp như: Quyết định thành lập, giấy chứng nhận đăng ký doanh nghiệp, giấy chứng nhận đầu tư hoặc các giấy tờ khác theo quy định của pháp luật;</w:t>
      </w:r>
    </w:p>
    <w:p>
      <w:pPr>
        <w:jc w:val="both"/>
      </w:pPr>
      <w:r>
        <w:t>(iii) Các giấy tờ chứng minh tư cách đại diện của người đại diện theo pháp luật hoặc đại diện theo ủy quyền (gọi là người đại diện hợp pháp) của tổ chức mở Ví điện tử kèm theo căn cước công dân hoặc chứng minh nhân dân hoặc hộ chiếu còn thời hạn của người đó;</w:t>
      </w:r>
    </w:p>
    <w:p>
      <w:pPr>
        <w:jc w:val="both"/>
      </w:pPr>
      <w:r>
        <w:t>c) Khách hàng đăng ký mở Ví điện tử có thể xuất trình các tài liệu quy định tại điểm a(ii), b(ii) và b(iii) khoản này dưới hình thức bản chính hoặc bản sao hoặc bản quét (scan) từ bản gốc hoặc hình thức khác theo quy định của tổ chức cung ứng dịch vụ Ví điện tử;</w:t>
      </w:r>
    </w:p>
    <w:p>
      <w:pPr>
        <w:jc w:val="both"/>
      </w:pPr>
      <w:r>
        <w:t>d) Khách hàng có thể đăng ký và gửi Hồ sơ mở Ví điện tử trực tiếp tại trụ sở, chi nhánh, phòng giao dịch của tổ chức cung ứng dịch vụ Ví điện tử hoặc các kênh giao dịch trực tuyến của tổ chức cung ứng dịch vụ Ví điện tử hoặc các phương thức khác theo quy định của tổ chức cung ứng dịch vụ Ví điện tử và phù hợp với quy định của pháp luật.</w:t>
      </w:r>
    </w:p>
    <w:p>
      <w:pPr>
        <w:jc w:val="both"/>
      </w:pPr>
      <w:r>
        <w:t>2. Thông tin của khách hàng mở Ví điện tử bao gồm:</w:t>
      </w:r>
    </w:p>
    <w:p>
      <w:pPr>
        <w:jc w:val="both"/>
      </w:pPr>
      <w:r>
        <w:t>a) Đối với Ví điện tử của cá nhân:</w:t>
      </w:r>
    </w:p>
    <w:p>
      <w:pPr>
        <w:jc w:val="both"/>
      </w:pPr>
      <w:r>
        <w:t>(i) Đối với cá nhân là người Việt Nam: Họ và tên; ngày, tháng, năm sinh; quốc tịch; số điện thoại; số căn cước công dân hoặc số chứng minh nhân dân hoặc số hộ chiếu còn thời hạn, ngày cấp, nơi cấp;</w:t>
      </w:r>
    </w:p>
    <w:p>
      <w:pPr>
        <w:jc w:val="both"/>
      </w:pPr>
      <w:r>
        <w:t>(ii) Đối với cá nhân là người nước ngoài: Họ và tên; ngày, tháng, năm sinh; quốc tịch; số điện thoại; số hộ chiếu còn thời hạn, ngày cấp, nơi cấp, thị thực nhập cảnh (nếu có);</w:t>
      </w:r>
    </w:p>
    <w:p>
      <w:pPr>
        <w:jc w:val="both"/>
      </w:pPr>
      <w:r>
        <w:t>b) Đối với Ví điện tử của tổ chức:</w:t>
      </w:r>
    </w:p>
    <w:p>
      <w:pPr>
        <w:jc w:val="both"/>
      </w:pPr>
      <w:r>
        <w:t>(i) Tên giao dịch đầy đủ và viết tắt; mã số doanh nghiệp và mã số thuế (nếu tổ chức có mã số thuế khác mã số doanh nghiệp); địa chỉ đặt trụ sở chính; địa chỉ giao dịch; số điện thoại;</w:t>
      </w:r>
    </w:p>
    <w:p>
      <w:pPr>
        <w:jc w:val="both"/>
      </w:pPr>
      <w:r>
        <w:t>(ii) Thông tin về người đại diện hợp pháp của tổ chức mở Ví điện tử theo quy định tại điểm a khoản này;</w:t>
      </w:r>
    </w:p>
    <w:p>
      <w:pPr>
        <w:jc w:val="both"/>
      </w:pPr>
      <w:r>
        <w:t>c) Tổ chức cung ứng dịch vụ Ví điện tử phải có các quy định và điều khoản về việc đăng ký mở và sử dụng Ví điện tử và phải công khai cho khách hàng biết trước khi đăng ký mở Ví điện tử. Ngoài những nội dung quy định tại điểm a, b khoản này, tổ chức cung ứng dịch vụ Ví điện tử được bổ sung thêm những thông tin khác phù hợp với từng đối tượng khách hàng và phù hợp với quy định của pháp luật, nhưng phải thông báo rõ và hướng dẫn cụ thể cho khách hàng biết.</w:t>
      </w:r>
    </w:p>
    <w:p>
      <w:pPr>
        <w:jc w:val="both"/>
      </w:pPr>
      <w:r>
        <w:t>3. Trường hợp cá nhân đăng ký mở Ví điện tử có tài khoản thanh toán được mở thông qua người giám hộ, người đại diện theo pháp luật thì ngoài các giấy tờ và thông tin quy định tại khoản 1, khoản 2 Điều này, hồ sơ mở Ví điện tử phải có thêm các tài liệu, thông tin sau:</w:t>
      </w:r>
    </w:p>
    <w:p>
      <w:pPr>
        <w:jc w:val="both"/>
      </w:pPr>
      <w:r>
        <w:t>a) Trường hợp người giám hộ, người đại diện theo pháp luật của chủ Ví điện tử là cá nhân, hồ sơ mở Ví điện tử phải có thêm căn cước công dân hoặc chứng minh nhân dân hoặc hộ chiếu còn thời hạn của người giám hộ, người đại diện theo pháp luật và các giấy tờ chứng minh tư cách giám hộ, đại diện hợp pháp của người đó đối với chủ Ví điện tử. Các thông tin về người giám hộ, người đại diện theo pháp luật theo quy định tại điểm a khoản 2 Điều này;</w:t>
      </w:r>
    </w:p>
    <w:p>
      <w:pPr>
        <w:jc w:val="both"/>
      </w:pPr>
      <w:r>
        <w:t>b) Trường hợp người giám hộ, người đại diện theo pháp luật của chủ Ví điện tử là pháp nhân, hồ sơ mở Ví điện tử phải có thêm một trong các giấy tờ chứng minh việc tổ chức này được thành lập và hoạt động hợp pháp, các giấy tờ chứng minh tư cách giám hộ, đại diện hợp pháp của tổ chức đó đối với chủ Ví điện tử. Các thông tin về người giám hộ, người đại diện theo pháp luật theo quy định tại điểm b khoản 2 Điều này, thông tin về người đại diện hợp pháp của tổ chức đó theo quy định tại điểm a khoản 2 Điều này.</w:t>
      </w:r>
    </w:p>
    <w:p>
      <w:pPr>
        <w:jc w:val="both"/>
      </w:pPr>
      <w:r>
        <w:t>4. Xác thực thông tin khách hàng mở Ví điện tử:</w:t>
      </w:r>
    </w:p>
    <w:p>
      <w:pPr>
        <w:jc w:val="both"/>
      </w:pPr>
      <w:r>
        <w:t>a) Chủ Ví điện tử phải cung cấp, cập nhật đầy đủ, chính xác các thông tin trong hồ sơ mở Ví điện tử cho tổ chức cung ứng dịch vụ Ví điện tử và chịu trách nhiệm về tính trung thực của các thông tin mà mình cung cấp;</w:t>
      </w:r>
    </w:p>
    <w:p>
      <w:pPr>
        <w:jc w:val="both"/>
      </w:pPr>
      <w:r>
        <w:t>b) Tổ chức cung ứng dịch vụ Ví điện tử có trách nhiệm kiểm tra, đối chiếu, đảm bảo hồ sơ mở Ví điện tử của khách hàng là đầy đủ, hợp lệ theo quy định tại khoản 1, khoản 2, khoản 3 Điều này.</w:t>
      </w:r>
    </w:p>
    <w:p>
      <w:pPr>
        <w:jc w:val="both"/>
      </w:pPr>
      <w:r>
        <w:t>5. Việc liên kết Ví điện tử với tài khoản thanh toán hoặc thẻ ghi nợ của khách hàng (chủ Ví điện tử) tại ngân hàng liên kết:</w:t>
      </w:r>
    </w:p>
    <w:p>
      <w:pPr>
        <w:jc w:val="both"/>
      </w:pPr>
      <w:r>
        <w:t>a) Tổ chức cung ứng dịch vụ Ví điện tử phải yêu cầu khách hàng hoàn thành việc liên kết Ví điện tử với tài khoản thanh toán hoặc thẻ ghi nợ của khách hàng mở tại ngân hàng liên kết trước khi khách hàng sử dụng Ví điện tử;</w:t>
      </w:r>
    </w:p>
    <w:p>
      <w:pPr>
        <w:jc w:val="both"/>
      </w:pPr>
      <w:r>
        <w:t>b) Ví điện tử phải được liên kết với tài khoản thanh toán bằng đồng Việt Nam hoặc thẻ ghi nợ (có gắn với tài khoản thanh toán bằng đồng Việt Nam) của khách hàng mở tại ngân hàng liên kết;</w:t>
      </w:r>
    </w:p>
    <w:p>
      <w:pPr>
        <w:jc w:val="both"/>
      </w:pPr>
      <w:r>
        <w:t>c) Tổ chức cung ứng dịch vụ Ví điện tử phải thỏa thuận với ngân hàng liên kết hoặc tổ chức cung ứng dịch vụ chuyển mạch tài chính và dịch vụ bù trừ điện tử về quy trình, cách thức liên kết Ví điện tử với tài khoản thanh toán hoặc thẻ ghi nợ của khách hàng;</w:t>
      </w:r>
    </w:p>
    <w:p>
      <w:pPr>
        <w:jc w:val="both"/>
      </w:pPr>
      <w:r>
        <w:t>d) Khách hàng được liên kết Ví điện tử với một hoặc nhiều tài khoản thanh toán hoặc thẻ ghi nợ của khách hàng (chủ Ví điện tử) mở tại các ngân hàng liên kết.</w:t>
      </w:r>
    </w:p>
    <w:p>
      <w:pPr>
        <w:jc w:val="both"/>
      </w:pPr>
      <w:r>
        <w:t>6. Sử dụng Ví điện tử:</w:t>
      </w:r>
    </w:p>
    <w:p>
      <w:pPr>
        <w:jc w:val="both"/>
      </w:pPr>
      <w:r>
        <w:t>a) Việc nạp tiền vào Ví điện tử phải thực hiện từ:</w:t>
      </w:r>
    </w:p>
    <w:p>
      <w:pPr>
        <w:jc w:val="both"/>
      </w:pPr>
      <w:r>
        <w:t>(i) Tài khoản thanh toán hoặc thẻ ghi nợ của khách hàng (chủ Ví điện tử) tại ngân hàng;</w:t>
      </w:r>
    </w:p>
    <w:p>
      <w:pPr>
        <w:jc w:val="both"/>
      </w:pPr>
      <w:r>
        <w:t>(ii) Nhận tiền từ Ví điện tử khác do cùng tổ chức cung ứng dịch vụ Ví điện tử mở;</w:t>
      </w:r>
    </w:p>
    <w:p>
      <w:pPr>
        <w:jc w:val="both"/>
      </w:pPr>
      <w:r>
        <w:t>b) Khách hàng được sử dụng Ví điện tử để:</w:t>
      </w:r>
    </w:p>
    <w:p>
      <w:pPr>
        <w:jc w:val="both"/>
      </w:pPr>
      <w:r>
        <w:t>(i) Thanh toán cho các hàng hóa, dịch vụ hợp pháp;</w:t>
      </w:r>
    </w:p>
    <w:p>
      <w:pPr>
        <w:jc w:val="both"/>
      </w:pPr>
      <w:r>
        <w:t>(ii) Chuyển tiền cho Ví điện tử khác do cùng tổ chức cung ứng dịch vụ Ví điện tử mở;</w:t>
      </w:r>
    </w:p>
    <w:p>
      <w:pPr>
        <w:jc w:val="both"/>
      </w:pPr>
      <w:r>
        <w:t>(iii) Rút tiền ra khỏi Ví điện tử về tài khoản thanh toán hoặc thẻ ghi nợ của khách hàng (chủ Ví điện tử) tại ngân hàng.</w:t>
      </w:r>
    </w:p>
    <w:p>
      <w:pPr>
        <w:jc w:val="both"/>
      </w:pPr>
      <w:r>
        <w:t>c) Tổng hạn mức giao dịch qua các Ví điện tử cá nhân của 01 khách hàng tại 01 tổ chức cung ứng dịch vụ Ví điện tử (bao gồm giao dịch thanh toán cho các hàng hóa, dịch vụ hợp pháp và giao dịch chuyển tiền từ Ví điện tử cho Ví điện tử khác do cùng tổ chức cung ứng dịch vụ Ví điện tử mở) tối đa là 100 (một trăm) triệu đồng Việt Nam trong một tháng;</w:t>
      </w:r>
    </w:p>
    <w:p>
      <w:pPr>
        <w:jc w:val="both"/>
      </w:pPr>
      <w:r>
        <w:t>d) Quy định tại điểm c khoản này không áp dụng đối với Ví điện tử cá nhân của người có ký hợp đồng/thỏa thuận làm đơn vị chấp nhận thanh toán với tổ chức cung ứng dịch vụ Ví điện tử;</w:t>
      </w:r>
    </w:p>
    <w:p>
      <w:pPr>
        <w:jc w:val="both"/>
      </w:pPr>
      <w:r>
        <w:t>đ) Nghiêm cấm việc sử dụng Ví điện tử để thực hiện các giao dịch cho các mục đích rửa tiền, tài trợ khủng bố, lừa đảo, gian lận và các hành vi vi phạm pháp luật khác; nghiêm cấm việc thuê, cho thuê, mượn, cho mượn Ví điện tử hoặc mua, bán thông tin Ví điện tử;</w:t>
      </w:r>
    </w:p>
    <w:p>
      <w:pPr>
        <w:jc w:val="both"/>
      </w:pPr>
      <w:r>
        <w:t>e) Tổ chức cung ứng dịch vụ Ví điện tử không được phép cấp tín dụng cho khách hàng sử dụng Ví điện tử, trả lãi trên số dư Ví điện tử hoặc bất kỳ hành động nào có thể làm tăng giá trị tiền tệ trên Ví điện tử so với giá trị tiền khách hàng nạp vào Ví điện tử.</w:t>
      </w:r>
    </w:p>
    <w:p>
      <w:pPr>
        <w:jc w:val="both"/>
      </w:pPr>
      <w:r>
        <w:t>7. Tổ chức cung ứng dịch vụ Ví điện tử phải cung cấp công cụ để Ngân hàng Nhà nước giám sát hoạt động cung ứng dịch vụ Ví điện tử. Công cụ giám sát phải đảm bảo:</w:t>
      </w:r>
    </w:p>
    <w:p>
      <w:pPr>
        <w:jc w:val="both"/>
      </w:pPr>
      <w:r>
        <w:t>a) Cho phép giám sát tổng số lượng Ví điện tử (đã phát hành, đã kích hoạt và đang hoạt động), tổng số dư Ví điện tử của tất cả khách hàng tại thời điểm truy cập công cụ giám sát;</w:t>
      </w:r>
    </w:p>
    <w:p>
      <w:pPr>
        <w:jc w:val="both"/>
      </w:pPr>
      <w:r>
        <w:t>b) Cho phép giám sát tổng số dư tài khoản đảm bảo thanh toán cho dịch vụ Ví điện tử, thông tin của từng tài khoản đảm bảo thanh toán cho dịch vụ Ví điện tử mở tại các ngân hàng hợp tác, bao gồm tên tài khoản, số hiệu tài khoản, số dư tại thời điểm truy cập công cụ giám sát;</w:t>
      </w:r>
    </w:p>
    <w:p>
      <w:pPr>
        <w:jc w:val="both"/>
      </w:pPr>
      <w:r>
        <w:t>c) Cho phép khai thác số liệu theo kỳ báo cáo tháng (tính từ ngày 01 của tháng đến ngày cuối cùng của tháng) vào chậm nhất là ngày 05 tháng tiếp theo, bao gồm:</w:t>
      </w:r>
    </w:p>
    <w:p>
      <w:pPr>
        <w:jc w:val="both"/>
      </w:pPr>
      <w:r>
        <w:t>(i) Tổng số lượng và tổng số dư Ví điện tử (đã phát hành, đã kích hoạt và đang hoạt động) vào cuối ngày của ngày cuối cùng của kỳ báo cáo; tổng số lượng và tổng giá trị giao dịch nạp tiền, giao dịch rút tiền, giao dịch thanh toán và các giao dịch khác của Ví điện tử được thống kê theo từng ngày trong tháng;</w:t>
      </w:r>
    </w:p>
    <w:p>
      <w:pPr>
        <w:jc w:val="both"/>
      </w:pPr>
      <w:r>
        <w:t>(ii) Tổng số lượng giao dịch bên Nợ, tổng giá trị giao dịch bên Nợ, tổng số lượng giao dịch bên Có, tổng giá trị giao dịch bên Có của tài khoản đảm bảo thanh toán cho dịch vụ Ví điện tử được thống kê theo từng ngày trong tháng;</w:t>
      </w:r>
    </w:p>
    <w:p>
      <w:pPr>
        <w:jc w:val="both"/>
      </w:pPr>
      <w:r>
        <w:t>(iii) Thông tin về 10 Ví điện tử có số lượng giao dịch nhiều nhất và 10 Ví điện tử có giá trị giao dịch cao nhất theo từng đối tượng khách hàng (đơn vị chấp nhận thanh toán; khách hàng cá nhân, khách hàng tổ chức nhưng không bao gồm cá nhân, tổ chức là đơn vị chấp nhận thanh toán) bao gồm số dư đầu kỳ, số dư cuối kỳ; tổng số lượng và tổng giá trị giao dịch nạp tiền, rút tiền theo từng ngân hàng liên kết; tổng số lượng và tổng giá trị giao dịch thanh toán, chuyển tiền; tổng số lượng và tổng giá trị các giao dịch khác nếu có (chỉ thống kê các giao dịch do hệ thống xử lý thành công). Số lượng Ví điện tử cần báo cáo có thể thay đổi theo yêu cầu của Ngân hàng Nhà nước.”.</w:t>
      </w:r>
    </w:p>
    <w:p>
      <w:pPr>
        <w:jc w:val="both"/>
      </w:pPr>
      <w:r>
        <w:t>4. Bổ sung Điều 9a vào sau Điều 9 như sau:</w:t>
      </w:r>
    </w:p>
    <w:p>
      <w:pPr>
        <w:jc w:val="both"/>
      </w:pPr>
      <w:r>
        <w:t>“Điều 9a. Hoạt động bù trừ điện tử</w:t>
      </w:r>
    </w:p>
    <w:p>
      <w:pPr>
        <w:jc w:val="both"/>
      </w:pPr>
      <w:r>
        <w:t>1. Tổ chức chủ trì BTĐT được quy định về việc kết nạp (hoặc ngừng) tham gia thành viên Hệ thống BTĐT, trong đó thành viên quyết toán phải đáp ứng tối thiểu các yêu cầu sau:</w:t>
      </w:r>
    </w:p>
    <w:p>
      <w:pPr>
        <w:jc w:val="both"/>
      </w:pPr>
      <w:r>
        <w:t>a) Là thành viên trực tiếp của Hệ thống TTĐTLNH;</w:t>
      </w:r>
    </w:p>
    <w:p>
      <w:pPr>
        <w:jc w:val="both"/>
      </w:pPr>
      <w:r>
        <w:t>b) Đã thực hiện việc thiết lập Hạn mức BTĐT theo quy định tại khoản 2 Điều này và cam kết thực hiện việc theo dõi, quản lý Hạn mức BTĐT để đảm bảo việc xử lý giao dịch thanh toán qua Hệ thống BTĐT tuân thủ theo quy định tại điểm c khoản 4 Điều này;</w:t>
      </w:r>
    </w:p>
    <w:p>
      <w:pPr>
        <w:jc w:val="both"/>
      </w:pPr>
      <w:r>
        <w:t>c) Có văn bản ủy quyền vô thời hạn và không hủy ngang cho Ngân hàng Nhà nước (Sở Giao dịch) được chủ động trích (ghi Nợ) tài khoản thanh toán của mình và xử lý tài sản ký quỹ (khi thiết lập Hạn mức BTĐT) để thực hiện việc quyết toán BTĐT hoặc nghĩa vụ chia sẻ rủi ro trong trường hợp thành viên quyết toán lập Giấy nhận nợ ngân hàng thiếu vốn quyết toán BTĐT không đủ khả năng trả nợ vay theo quy định tại điểm c khoản 6 Điều này;</w:t>
      </w:r>
    </w:p>
    <w:p>
      <w:pPr>
        <w:jc w:val="both"/>
      </w:pPr>
      <w:r>
        <w:t>d) Có văn bản cam kết với Tổ chức chủ trì BTĐT về việc đảm bảo khả năng chi trả để thanh toán kịp thời và đầy đủ các nghĩa vụ phát sinh khi xử lý quyết toán BTĐT theo quy định tại khoản 5 và khoản 6 Điều này.</w:t>
      </w:r>
    </w:p>
    <w:p>
      <w:pPr>
        <w:jc w:val="both"/>
      </w:pPr>
      <w:r>
        <w:t>2. Hạn mức BTĐT:</w:t>
      </w:r>
    </w:p>
    <w:p>
      <w:pPr>
        <w:jc w:val="both"/>
      </w:pPr>
      <w:r>
        <w:t>a) Các thành viên quyết toán phải thiết lập, duy trì và quản lý Hạn mức BTĐT để thực hiện các giao dịch thanh toán qua Hệ thống BTĐT. Hạn mức BTĐT do Tổ chức chủ trì BTĐT xác lập trên cơ sở đề xuất của thành viên quyết toán và tuân thủ quy định nội bộ về cơ chế thiết lập, điều chỉnh và quản lý Hạn mức BTĐT nhưng phải đảm bảo việc ký quỹ để thiết lập Hạn mức BTĐT theo quy định tại khoản 3 Điều này. Việc thiết lập hoặc điều chỉnh Hạn mức BTĐT được thực hiện bằng chứng từ giấy hoặc bằng phương thức điện tử thông qua các kênh trao đổi thông tin điện tử giữa Tổ chức chủ trì BTĐT và thành viên quyết toán;</w:t>
      </w:r>
    </w:p>
    <w:p>
      <w:pPr>
        <w:jc w:val="both"/>
      </w:pPr>
      <w:r>
        <w:t>b) Thiết lập Hạn mức BTĐT:</w:t>
      </w:r>
    </w:p>
    <w:p>
      <w:pPr>
        <w:jc w:val="both"/>
      </w:pPr>
      <w:r>
        <w:t>Để thiết lập Hạn mức BTĐT lần đầu, thành viên quyết toán gửi Tổ chức chủ trì BTĐT đề nghị thiết lập Hạn mức BTĐT và thực hiện ký quỹ tại Ngân hàng Nhà nước (Sở Giao dịch) để thiết lập Hạn mức BTĐT theo quy định tại khoản 3 Điều này. Trong vòng 01 ngày làm việc kể từ khi nhận được đề nghị thiết lập Hạn mức BTĐT của thành viên quyết toán, Tổ chức chủ trì BTĐT căn cứ thông tin xác nhận của Ngân hàng Nhà nước (Sở Giao dịch) về việc ký quỹ của thành viên quyết toán và quy định nội bộ về cơ chế thiết lập, điều chỉnh và quản lý Hạn mức BTĐT để xác lập Hạn mức BTĐT và thông báo cho thành viên quyết toán biết;</w:t>
      </w:r>
    </w:p>
    <w:p>
      <w:pPr>
        <w:jc w:val="both"/>
      </w:pPr>
      <w:r>
        <w:t>c) Điều chỉnh Hạn mức BTĐT:</w:t>
      </w:r>
    </w:p>
    <w:p>
      <w:pPr>
        <w:jc w:val="both"/>
      </w:pPr>
      <w:r>
        <w:t>(i) Thành viên quyết toán có thể đề nghị Tổ chức chủ trì BTĐT xem xét điều chỉnh Hạn mức BTĐT trên cơ sở nhu cầu giao dịch thanh toán qua Hệ thống BTĐT, quy định nội bộ của Hệ thống BTĐT về cơ chế thiết lập, điều chỉnh và quản lý Hạn mức BTĐT và giá trị tài sản ký quỹ thiết lập Hạn mức BTĐT của mình tại Ngân hàng Nhà nước (Sở Giao dịch):</w:t>
      </w:r>
    </w:p>
    <w:p>
      <w:pPr>
        <w:jc w:val="both"/>
      </w:pPr>
      <w:r>
        <w:t>- Trường hợp điều chỉnh tăng Hạn mức BTĐT, thành viên quyết toán phải bổ sung giấy tờ có giá và/hoặc yêu cầu tăng thêm số tiền tạm khóa trên tài khoản thanh toán để đảm bảo việc ký quỹ thiết lập Hạn mức BTĐT theo quy định tại khoản 3 Điều này. Ngay sau khi thành viên quyết toán hoàn thành việc bổ sung ký quỹ thiết lập Hạn mức BTĐT tại Ngân hàng Nhà nước (Sở Giao dịch), Tổ chức chủ trì BTĐT thực hiện việc điều chỉnh và cập nhật tăng Hạn mức BTĐT cho thành viên quyết toán;</w:t>
      </w:r>
    </w:p>
    <w:p>
      <w:pPr>
        <w:jc w:val="both"/>
      </w:pPr>
      <w:r>
        <w:t>- Trường hợp điều chỉnh giảm Hạn mức BTĐT, trong vòng 01 ngày làm việc kể từ khi nhận được đề nghị của thành viên quyết toán, Tổ chức chủ trì BTĐT thực hiện việc cập nhật giảm Hạn mức BTĐT của thành viên quyết toán và thông báo cho thành viên quyết toán và Ngân hàng Nhà nước (Sở Giao dịch) biết. Sau khi giảm Hạn mức BTĐT, theo đề nghị của thành viên quyết toán và trên cơ sở đảm bảo việc ký quỹ thiết lập Hạn mức BTĐT theo quy định tại khoản 3 Điều này, Ngân hàng Nhà nước (Sở Giao dịch) hoàn trả giấy tờ có giá và/hoặc tiền ký quỹ của thành viên quyết toán theo quy định của Ngân hàng Nhà nước về hoàn trả giấy tờ có giá, tiền ký quỹ trong hệ thống TTĐTLNH.</w:t>
      </w:r>
    </w:p>
    <w:p>
      <w:pPr>
        <w:jc w:val="both"/>
      </w:pPr>
      <w:r>
        <w:t>(ii) Tổ chức chủ trì BTĐT được chủ động điều chỉnh Hạn mức BTĐT của thành viên quyết toán đối với trường hợp có sự thay đổi về tỷ lệ ký quỹ thiết lập Hạn mức BTĐT theo quy định tại điểm c khoản 3 Điều này hoặc thành viên quyết toán bị giảm giá trị ký quỹ trong quá trình xử lý quyết toán BTĐT quy định tại khoản 6 Điều này. Trường hợp điều chỉnh giảm Hạn mức BTĐT, Tổ chức chủ trì BTĐT phải hoàn thành việc cập nhật Hạn mức BTĐT của thành viên quyết toán vào phiên giao dịch bù trừ điện tử kế tiếp sau khi nhận được Quyết định của Thống đốc Ngân hàng Nhà nước về việc thay đổi tỷ lệ ký quỹ thiết lập Hạn mức BTĐT hoặc thông tin từ Ngân hàng Nhà nước (Sở Giao dịch) về giảm giá trị ký quỹ của thành viên quyết toán.</w:t>
      </w:r>
    </w:p>
    <w:p>
      <w:pPr>
        <w:jc w:val="both"/>
      </w:pPr>
      <w:r>
        <w:t>3. Ký quỹ để thiết lập Hạn mức BTĐT:</w:t>
      </w:r>
    </w:p>
    <w:p>
      <w:pPr>
        <w:jc w:val="both"/>
      </w:pPr>
      <w:r>
        <w:t>a) Thành viên quyết toán thực hiện ký quỹ bằng tiền và/hoặc giấy tờ có giá tại Ngân hàng Nhà nước (Sở Giao dịch) để thiết lập Hạn mức BTĐT, trong đó:</w:t>
      </w:r>
    </w:p>
    <w:p>
      <w:pPr>
        <w:jc w:val="both"/>
      </w:pPr>
      <w:r>
        <w:t>(i) Các loại giấy tờ có giá và giá trị giấy tờ có giá sử dụng để thiết lập Hạn mức BTĐT thực hiện theo quy định của Ngân hàng Nhà nước quy định về thấu chi và cho vay qua đêm trong thanh toán điện tử liên ngân hàng;</w:t>
      </w:r>
    </w:p>
    <w:p>
      <w:pPr>
        <w:jc w:val="both"/>
      </w:pPr>
      <w:r>
        <w:t>(ii) Tiền ký quỹ là số tiền tạm khóa trên tài khoản thanh toán của thành viên quyết toán mở tại Ngân hàng Nhà nước (Sở Giao dịch) để phục vụ cho việc thiết lập Hạn mức BTĐT;</w:t>
      </w:r>
    </w:p>
    <w:p>
      <w:pPr>
        <w:jc w:val="both"/>
      </w:pPr>
      <w:r>
        <w:t>b) Khi thành viên quyết toán thiết lập Hạn mức BTĐT lần đầu theo quy định tại điểm b khoản 2 Điều này, tỷ lệ ký quỹ tối thiểu là 10% giá trị Hạn mức BTĐT. Trường hợp điều chỉnh tăng Hạn mức BTĐT theo quy định tại điểm c (i) khoản 2 Điều này, tỷ lệ ký quỹ là 100% đối với phần giá trị Hạn mức BTĐT tăng thêm;</w:t>
      </w:r>
    </w:p>
    <w:p>
      <w:pPr>
        <w:jc w:val="both"/>
      </w:pPr>
      <w:r>
        <w:t>c) Tỷ lệ ký quỹ thiết lập Hạn mức BTĐT theo quy định tại điểm b khoản này có thể được thay đổi trong từng thời kỳ hoặc đối với từng thành viên quyết toán theo quyết định của Thống đốc Ngân hàng Nhà nước trên nguyên tắc:</w:t>
      </w:r>
    </w:p>
    <w:p>
      <w:pPr>
        <w:jc w:val="both"/>
      </w:pPr>
      <w:r>
        <w:t>(i) Tăng tỷ lệ ký quỹ đối với tất cả thành viên quyết toán để đảm bảo an toàn hoạt động của Hệ thống BTĐT trong trường hợp cần thiết hoặc theo khuyến nghị về giám sát Hệ thống BTĐT;</w:t>
      </w:r>
    </w:p>
    <w:p>
      <w:pPr>
        <w:jc w:val="both"/>
      </w:pPr>
      <w:r>
        <w:t>(ii) Tăng tỷ lệ ký quỹ đối với thành viên quyết toán không thực hiện nghiêm các cam kết về đảm bảo Hạn mức BTĐT để xử lý giao dịch thanh toán qua Hệ thống BTĐT theo quy định tại điểm c khoản 4 Điều này;</w:t>
      </w:r>
    </w:p>
    <w:p>
      <w:pPr>
        <w:jc w:val="both"/>
      </w:pPr>
      <w:r>
        <w:t>(iii) Tăng tỷ lệ ký quỹ đối với thành viên quyết toán để xảy ra tình trạng không đảm bảo khả năng chi trả quyết toán BTĐT hoặc thiếu tiền trên tài khoản thanh toán tại Ngân hàng Nhà nước (Sở Giao dịch) để quyết toán giá trị thấp Hệ thống TTĐTLNH;</w:t>
      </w:r>
    </w:p>
    <w:p>
      <w:pPr>
        <w:jc w:val="both"/>
      </w:pPr>
      <w:r>
        <w:t>(iv) Thành viên quyết toán không tuân thủ các quy định, quy chế hoạt động của Hệ thống BTĐT, các quy định về thành viên của Hệ thống TTĐTLNH sẽ phải áp dụng tỷ lệ ký quỹ cao hơn so với các thành viên quyết toán khác;</w:t>
      </w:r>
    </w:p>
    <w:p>
      <w:pPr>
        <w:jc w:val="both"/>
      </w:pPr>
      <w:r>
        <w:t>d) Giấy tờ có giá và tiền ký quỹ của thành viên quyết toán dùng để ký quỹ thiết lập Hạn mức BTĐT không được cùng sử dụng cho những mục đích ký quỹ khác của thành viên quyết toán tại Ngân hàng Nhà nước.</w:t>
      </w:r>
    </w:p>
    <w:p>
      <w:pPr>
        <w:jc w:val="both"/>
      </w:pPr>
      <w:r>
        <w:t>4. Xử lý giao dịch thanh toán qua Hệ thống BTĐT:</w:t>
      </w:r>
    </w:p>
    <w:p>
      <w:pPr>
        <w:jc w:val="both"/>
      </w:pPr>
      <w:r>
        <w:t>Tổ chức chủ trì BTĐT xây dựng quy trình nghiệp vụ của Hệ thống BTĐT: quy định về số phiên giao dịch, thời gian bù trừ, thanh toán, việc tra soát, đối chiếu dữ liệu, đảm bảo thực hiện quyết toán kịp thời, đầy đủ, chính xác cho các thành viên quyết toán theo kết quả BTĐT, đảm bảo các nguyên tắc:</w:t>
      </w:r>
    </w:p>
    <w:p>
      <w:pPr>
        <w:jc w:val="both"/>
      </w:pPr>
      <w:r>
        <w:t>a) Giá trị giao dịch tối đa bằng đồng Việt Nam của lệnh thanh toán qua Hệ thống BTĐT không được vượt quá giá trị tối đa của lệnh thanh toán giá trị thấp qua Hệ thống TTĐTLNH;</w:t>
      </w:r>
    </w:p>
    <w:p>
      <w:pPr>
        <w:jc w:val="both"/>
      </w:pPr>
      <w:r>
        <w:t>b) Việc xử lý các giao dịch thanh toán Nợ qua Hệ thống BTĐT đều phải có văn bản thỏa thuận hoặc ủy quyền trước;</w:t>
      </w:r>
    </w:p>
    <w:p>
      <w:pPr>
        <w:jc w:val="both"/>
      </w:pPr>
      <w:r>
        <w:t>c) Tổ chức chủ trì BTĐT và thành viên quyết toán phải theo dõi, quản lý chặt chẽ Hạn mức BTĐT đảm bảo tổng số chênh lệch phải trả của thành viên quyết toán trong một phiên giao dịch không lớn hơn Hạn mức BTĐT của thành viên quyết toán đó.</w:t>
      </w:r>
    </w:p>
    <w:p>
      <w:pPr>
        <w:jc w:val="both"/>
      </w:pPr>
      <w:r>
        <w:t>5. Quyết toán BTĐT:</w:t>
      </w:r>
    </w:p>
    <w:p>
      <w:pPr>
        <w:jc w:val="both"/>
      </w:pPr>
      <w:r>
        <w:t>a) Để thực hiện xử lý quyết toán BTĐT, Tổ chức chủ trì BTĐT đăng ký sử dụng dịch vụ quyết toán ròng cho các hệ thống khác của Hệ thống TTĐTLNH theo quy định của Ngân hàng Nhà nước về quản lý, vận hành và sử dụng Hệ thống TTĐTLNH;</w:t>
      </w:r>
    </w:p>
    <w:p>
      <w:pPr>
        <w:jc w:val="both"/>
      </w:pPr>
      <w:r>
        <w:t>b) Tổ chức chủ trì BTĐT quy định thời điểm quyết toán cụ thể vào cuối phiên giao dịch tương ứng với mỗi phương thức xử lý lệnh thanh toán hoặc dịch vụ của Hệ thống BTĐT, đảm bảo phù hợp với thời gian hoạt động Hệ thống TTĐTLNH và việc xử lý quyết toán BTĐT theo quy định tại khoản 5, khoản 6 Điều này;</w:t>
      </w:r>
    </w:p>
    <w:p>
      <w:pPr>
        <w:jc w:val="both"/>
      </w:pPr>
      <w:r>
        <w:t>c) Tổ chức chủ trì BTĐT gửi kết quả BTĐT đến Hệ thống TTĐTLNH để xử lý hạch toán vào tài khoản thanh toán của thành viên quyết toán liên quan theo quy định về quản lý, vận hành và sử dụng Hệ thống TTĐTLNH. Kết quả BTĐT gửi đến Hệ thống TTĐTLNH phải đảm bảo nghĩa vụ phải trả của thành viên quyết toán trong phiên quyết toán không vượt quá Hạn mức BTĐT của thành viên đó. Việc xử lý trong trường hợp thành viên quyết toán không đủ khả năng chi trả thực hiện theo quy định tại khoản 6 Điều này.</w:t>
      </w:r>
    </w:p>
    <w:p>
      <w:pPr>
        <w:jc w:val="both"/>
      </w:pPr>
      <w:r>
        <w:t>6. Xử lý trong trường hợp thành viên quyết toán thiếu khả năng chi trả để thực hiện quyết toán BTĐT:</w:t>
      </w:r>
    </w:p>
    <w:p>
      <w:pPr>
        <w:jc w:val="both"/>
      </w:pPr>
      <w:r>
        <w:t>a) Trường hợp có ít nhất một thành viên quyết toán không đủ khả năng chi trả khi quyết toán BTĐT, trình tự thực hiện xử lý như sau:</w:t>
      </w:r>
    </w:p>
    <w:p>
      <w:pPr>
        <w:jc w:val="both"/>
      </w:pPr>
      <w:r>
        <w:t>(i) Thành viên quyết toán thực hiện thấu chi trong hạn mức được cấp theo quy định của Ngân hàng Nhà nước về thấu chi và cho vay qua đêm trong thanh toán điện tử liên ngân hàng để xử lý kết quả quyết toán BTĐT;</w:t>
      </w:r>
    </w:p>
    <w:p>
      <w:pPr>
        <w:jc w:val="both"/>
      </w:pPr>
      <w:r>
        <w:t>(ii) Khi thành viên quyết toán đã sử dụng hết hạn mức thấu chi được cấp mà vẫn không đủ số dư để xử lý quyết toán BTĐT thì kết quả BTĐT được chuyển vào hàng đợi quyết toán. Khi đủ số dư, kết quả BTĐT được xử lý tiếp;</w:t>
      </w:r>
    </w:p>
    <w:p>
      <w:pPr>
        <w:jc w:val="both"/>
      </w:pPr>
      <w:r>
        <w:t>(iii) Tổ chức chủ trì BTĐT thực hiện vấn tin trên Hệ thống TTĐTLNH để kiểm tra tình trạng xử lý kết quả BTĐT trong hàng đợi; đồng thời, thông báo và yêu cầu thành viên quyết toán thiếu khả năng chi trả có biện pháp kịp thời tăng số dư (Có) trên tài khoản thanh toán từ nguồn vốn của chính thành viên quyết toán hoặc thông qua các giao dịch trên thị trường tiền tệ hoặc vay vốn lẫn nhau trên thị trường liên ngân hàng theo quy định của Ngân hàng Nhà nước để thực hiện quyết toán BTĐT;</w:t>
      </w:r>
    </w:p>
    <w:p>
      <w:pPr>
        <w:jc w:val="both"/>
      </w:pPr>
      <w:r>
        <w:t>(iv) Đến thời điểm ngừng nhận lệnh thanh toán giá trị thấp Hệ thống TTĐTLNH, trường hợp thành viên quyết toán vẫn không đủ khả năng chi trả, Ngân hàng Nhà nước (Sở Giao dịch) thực hiện trích (ghi Nợ) tiền ký quỹ thiết lập Hạn mức BTĐT của thành viên quyết toán (nếu có) để thực hiện việc quyết toán BTĐT. Ngay sau khi trích (ghi Nợ) tiền ký quỹ thiết lập Hạn mức BTĐT của thành viên quyết toán, Ngân hàng Nhà nước (Sở Giao dịch) thông báo cho Tổ chức chủ trì BTĐT biết để điều chỉnh giảm Hạn mức BTĐT trên cơ sở giá trị ký quỹ còn lại của thành viên quyết toán đó;</w:t>
      </w:r>
    </w:p>
    <w:p>
      <w:pPr>
        <w:jc w:val="both"/>
      </w:pPr>
      <w:r>
        <w:t>(v) Đến thời điểm ngừng nhận lệnh thanh toán giá trị cao Hệ thống TTĐTLNH, thành viên quyết toán không đủ khả năng chi trả sẽ phải lập Giấy nhận nợ ngân hàng thiếu vốn quyết toán BTĐT (theo mẫu tại Phụ lục số 06 ban hành kèm theo Thông tư này) gửi Ngân hàng Nhà nước (Sở Giao dịch) để áp dụng giải pháp cho vay thanh toán bù trừ nhằm thực hiện quyết toán BTĐT với lãi suất bằng lãi suất cho vay qua đêm do Thống đốc Ngân hàng Nhà nước quyết định trong từng thời kỳ. Đồng thời, Ngân hàng Nhà nước (Sở Giao dịch) thông báo cho Tổ chức chủ trì BTĐT biết để tạm dừng việc sử dụng các dịch vụ thanh toán qua Hệ thống BTĐT của thành viên quyết toán đó và chuẩn bị phương án xử lý rủi ro theo quy định tại điểm b, c khoản này;</w:t>
      </w:r>
    </w:p>
    <w:p>
      <w:pPr>
        <w:jc w:val="both"/>
      </w:pPr>
      <w:r>
        <w:t>b) Trường hợp có ít nhất một thành viên quyết toán phải lập Giấy nhận nợ ngân hàng thiếu vốn quyết toán BTĐT:</w:t>
      </w:r>
    </w:p>
    <w:p>
      <w:pPr>
        <w:jc w:val="both"/>
      </w:pPr>
      <w:r>
        <w:t>(i) Vào đầu ngày làm việc liền kề tiếp theo ngày phát sinh khoản vay để quyết toán BTĐT và trước thời điểm Tổ chức chủ trì BTĐT gửi kết quả quyết toán BTĐT, thành viên quyết toán đã lập Giấy nhận nợ ngân hàng thiếu vốn quyết toán BTĐT phải thực hiện việc trả cả dư nợ gốc và lãi vay cho Ngân hàng Nhà nước. Trường hợp thành viên quyết toán đó không hoàn thành việc trả nợ, Ngân hàng Nhà nước (Sở Giao dịch) thực hiện các biện pháp thu hồi nợ cho vay để thực hiện quyết toán BTĐT (bao gồm cả dư nợ gốc và lãi vay) theo nguyên tắc thu gốc trước, thu lãi sau, cụ thể:</w:t>
      </w:r>
    </w:p>
    <w:p>
      <w:pPr>
        <w:jc w:val="both"/>
      </w:pPr>
      <w:r>
        <w:t>- Chủ động thực hiện trích (ghi Nợ) tài khoản thanh toán bằng đồng Việt Nam của thành viên quyết toán tại Ngân hàng Nhà nước (Sở Giao dịch);</w:t>
      </w:r>
    </w:p>
    <w:p>
      <w:pPr>
        <w:jc w:val="both"/>
      </w:pPr>
      <w:r>
        <w:t>- Yêu cầu tổ chức lưu ký giấy tờ có giá thực hiện chuyển quyền sở hữu giấy tờ có giá từ thành viên quyết toán sang cho Ngân hàng Nhà nước đối với những giấy tờ có giá mà thành viên quyết toán đó ký quỹ tại Ngân hàng Nhà nước (Sở Giao dịch) để thiết lập Hạn mức BTĐT;</w:t>
      </w:r>
    </w:p>
    <w:p>
      <w:pPr>
        <w:jc w:val="both"/>
      </w:pPr>
      <w:r>
        <w:t>(ii) Đến cuối ngày làm việc liền kề tiếp theo ngày phát sinh khoản vay để quyết toán BTĐT, trường hợp sau khi áp dụng các biện pháp thu hồi nợ theo quy định tại điểm b(i) khoản này mà vẫn không đủ để thu hồi nợ, Ngân hàng Nhà nước (Sở Giao dịch) chuyển toàn bộ số dư nợ còn thiếu sang dư nợ quá hạn; lãi suất đối với dư nợ gốc quá hạn, lãi suất đối với lãi vay chậm trả bằng lãi suất áp dụng đối với dư nợ gốc vay qua đêm quá hạn, lãi suất đối với lãi vay qua đêm chậm trả theo quy định của Ngân hàng Nhà nước về thấu chi và cho vay qua đêm trong thanh toán điện tử liên ngân hàng và thông báo cho Tổ chức chủ trì BTĐT biết số tiền nợ còn thiếu cần thu hồi (bao gồm gốc và lãi vay). Tổ chức chủ trì BTĐT xử lý phân bổ nghĩa vụ chia sẻ rủi ro cho các thành viên quyết toán còn lại để trả nợ vay cho Ngân hàng Nhà nước (Sở Giao dịch) theo quy định tại điểm c khoản này;</w:t>
      </w:r>
    </w:p>
    <w:p>
      <w:pPr>
        <w:jc w:val="both"/>
      </w:pPr>
      <w:r>
        <w:t>c) Xử lý phân bổ nghĩa vụ chia sẻ rủi ro đối với trường hợp thành viên quyết toán lập Giấy nhận nợ ngân hàng thiếu vốn quyết toán BTĐT không đủ khả năng trả nợ vay (bao gồm cả gốc và lãi vay):</w:t>
      </w:r>
    </w:p>
    <w:p>
      <w:pPr>
        <w:jc w:val="both"/>
      </w:pPr>
      <w:r>
        <w:t>(i) Vào ngày làm việc kế tiếp của ngày mà Ngân hàng Nhà nước (Sở Giao dịch) thông báo cho Tổ chức chủ trì BTĐT về việc chưa thu hồi đủ khoản nợ cho vay để quyết toán BTĐT và tổng số nợ vay (bao gồm cả gốc và lãi vay) còn phải trả cho Ngân hàng Nhà nước của các thành viên quyết toán lập Giấy nhận nợ ngân hàng thiếu vốn quyết toán BTĐT theo quy định tại điểm b(ii) khoản này, Tổ chức chủ trì BTĐT xác định phân bổ nghĩa vụ chia sẻ rủi ro của các thành viên quyết toán còn lại theo công thức sau:</w:t>
      </w:r>
    </w:p>
    <w:p>
      <w:pPr>
        <w:jc w:val="both"/>
      </w:pPr>
      <w:r>
        <w:t>Trong đó:</w:t>
      </w:r>
    </w:p>
    <w:p>
      <w:pPr>
        <w:jc w:val="both"/>
      </w:pPr>
      <w:r>
        <w:t>Ai: là số tiền mà thành viên quyết toán thứ i phải trả Ngân hàng Nhà nước khoản nợ vay (bao gồm cả gốc và lãi vay) để chia sẻ rủi ro do thành viên quyết toán lập Giấy nhận nợ ngân hàng thiếu vốn quyết toán BTĐT không đủ khả năng trả nợ vay (bao gồm cả gốc và lãi vay);</w:t>
      </w:r>
    </w:p>
    <w:p>
      <w:pPr>
        <w:jc w:val="both"/>
      </w:pPr>
      <w:r>
        <w:t>Di: là doanh số giao dịch thanh toán Nợ phát sinh của thành viên quyết toán thứ i trong phiên quyết toán có phát sinh thành viên quyết toán lập Giấy nhận nợ ngân hàng thiếu vốn quyết toán BTĐT;</w:t>
      </w:r>
    </w:p>
    <w:p>
      <w:pPr>
        <w:jc w:val="both"/>
      </w:pPr>
      <w:r>
        <w:t>D: là tổng doanh số giao dịch thanh toán Nợ phát sinh của phiên quyết toán có phát sinh thành viên quyết toán lập Giấy nhận nợ ngân hàng thiếu vốn quyết toán BTĐT;</w:t>
      </w:r>
    </w:p>
    <w:p>
      <w:pPr>
        <w:jc w:val="both"/>
      </w:pPr>
      <w:r>
        <w:t>D(x): là doanh số giao dịch thanh toán phát sinh Nợ trong phiên quyết toán của các thành viên quyết toán lập Giấy nhận nợ ngân hàng thiếu vốn quyết toán BTĐT;</w:t>
      </w:r>
    </w:p>
    <w:p>
      <w:pPr>
        <w:jc w:val="both"/>
      </w:pPr>
      <w:r>
        <w:t>M: là tổng số nợ vay (bao gồm cả nợ gốc và lãi vay) còn phải trả cho Ngân hàng Nhà nước của các thành viên quyết toán lập Giấy nhận nợ ngân hàng thiếu vốn quyết toán BTĐT;</w:t>
      </w:r>
    </w:p>
    <w:p>
      <w:pPr>
        <w:jc w:val="both"/>
      </w:pPr>
      <w:r>
        <w:t>(ii) Sau khi tính toán, xác định số tiền mà từng thành viên quyết toán có nghĩa vụ phải chia sẻ rủi ro, Tổ chức chủ trì BTĐT gửi Ngân hàng Nhà nước (Sở Giao dịch) để thực hiện trích (ghi Nợ) tài khoản thanh toán của thành viên quyết toán tại Ngân hàng Nhà nước (Sở Giao dịch) và thu hồi đủ số nợ vay (bao gồm cả gốc và lãi vay) của các thành viên quyết toán lập Giấy nhận nợ ngân hàng thiếu vốn quyết toán BTĐT; đồng thời, thông báo cho các thành viên quyết toán biết;</w:t>
      </w:r>
    </w:p>
    <w:p>
      <w:pPr>
        <w:jc w:val="both"/>
      </w:pPr>
      <w:r>
        <w:t>(iii) Trường hợp có ít nhất một thành viên quyết toán không đủ tiền (số dư Có) trên tài khoản thanh toán để thực hiện nghĩa vụ chia sẻ rủi ro, Ngân hàng Nhà nước (Sở Giao dịch) thông báo cho Tổ chức chủ trì BTĐT biết để xem xét tạm dừng việc sử dụng các dịch vụ thanh toán qua Hệ thống BTĐT của thành viên quyết toán đó. Đồng thời, Ngân hàng Nhà nước (Sở Giao dịch) theo dõi số dư trên tài khoản thanh toán mở tại Ngân hàng Nhà nước (Sở Giao dịch) của các thành viên quyết toán đó để tiếp tục trích (ghi Nợ) cho đến khi thu đủ số tiền phân bổ theo nghĩa vụ chia sẻ;</w:t>
      </w:r>
    </w:p>
    <w:p>
      <w:pPr>
        <w:jc w:val="both"/>
      </w:pPr>
      <w:r>
        <w:t>(iv) Đến cuối ngày làm việc của ngày Tổ chức chủ trì BTĐT xác định và thông báo cho các thành viên quyết toán về nghĩa vụ phải chia sẻ rủi ro, thành viên quyết toán nào không đủ tiền (số dư Có) trên tài khoản thanh toán để thực hiện xong nghĩa vụ chia sẻ rủi ro thì Ngân hàng Nhà nước (Sở Giao dịch) tiến hành xử lý tài sản ký quỹ thiết lập Hạn mức BTĐT của thành viên đó để thu hồi số tiền còn thiếu bằng cách trích (ghi Nợ) tiền ký quỹ để thiết lập Hạn mức BTĐT (nếu có) của thành viên quyết toán đó hoặc yêu cầu tổ chức lưu ký giấy tờ có giá thực hiện chuyển quyền sở hữu giấy tờ có giá từ thành viên quyết toán đó sang Ngân hàng Nhà nước. Đồng thời, Ngân hàng Nhà nước (Sở Giao dịch) thông báo cho Tổ chức chủ trì BTĐT và thành viên quyết toán biết để tính toán và điều chỉnh giảm Hạn mức BTĐT của thành viên quyết toán;</w:t>
      </w:r>
    </w:p>
    <w:p>
      <w:pPr>
        <w:jc w:val="both"/>
      </w:pPr>
      <w:r>
        <w:t>d) Hoàn trả phần các thành viên quyết toán đã chia sẻ rủi ro:</w:t>
      </w:r>
    </w:p>
    <w:p>
      <w:pPr>
        <w:jc w:val="both"/>
      </w:pPr>
      <w:r>
        <w:t>(i) Trong vòng 05 ngày làm việc kể từ ngày Tổ chức chủ trì BTĐT thông báo với các thành viên quyết toán về nghĩa vụ chia sẻ rủi ro, thành viên quyết toán lập Giấy nhận nợ ngân hàng thiếu vốn quyết toán BTĐT không đủ khả năng trả nợ vay (cả gốc và lãi) có nghĩa vụ thực hiện mọi biện pháp để hoàn trả đầy đủ số tiền đã vay (bao gồm cả gốc và lãi) cho Ngân hàng Nhà nước (Sở Giao dịch). Sau khoảng thời gian trên, nếu không nhận đủ số dư nợ cho vay để quyết toán BTĐT (bao gồm cả gốc và lãi vay) thì Ngân hàng Nhà nước (Sở Giao dịch) sẽ chủ động thực hiện trích (ghi Nợ) tài khoản thanh toán của thành viên quyết toán đó mở tại Ngân hàng Nhà nước (Sở Giao dịch) để thu hồi số tiền còn thiếu và thông báo cho Tổ chức chủ trì BTĐT biết về số tiền đã thu hồi được;</w:t>
      </w:r>
    </w:p>
    <w:p>
      <w:pPr>
        <w:jc w:val="both"/>
      </w:pPr>
      <w:r>
        <w:t>(ii) Tổ chức chủ trì BTĐT căn cứ số tiền đã thu hồi được theo thông báo của Ngân hàng Nhà nước (Sở Giao dịch) và tỷ lệ phần trăm (%) giữa số tiền phải chia sẻ của mỗi thành viên quyết toán còn lại với tổng số tiền phải trả (bao gồm cả gốc và lãi) tính toán phần hoàn trả cho từng thành viên quyết toán đã thực hiện nghĩa vụ chia sẻ rủi ro và gửi Ngân hàng Nhà nước (Sở Giao dịch) đề hoàn trả (ghi Có) vào tài khoản thanh toán cho thành viên quyết toán; đồng thời, thông báo cho các thành viên quyết toán biết;</w:t>
      </w:r>
    </w:p>
    <w:p>
      <w:pPr>
        <w:jc w:val="both"/>
      </w:pPr>
      <w:r>
        <w:t>(iii) Trường hợp thành viên quyết toán lập Giấy nhận nợ ngân hàng thiếu vốn quyết toán BTĐT bị phá sản, Ngân hàng Nhà nước được nhận các khoản nợ theo quy định pháp luật về phá sản doanh nghiệp và chuyển trả các thành viên quyết toán đã chia sẻ theo tỷ lệ phân bổ trong phạm vi khoản nợ thu hồi được.”.</w:t>
      </w:r>
    </w:p>
    <w:p>
      <w:pPr>
        <w:jc w:val="both"/>
      </w:pPr>
      <w:r>
        <w:t>5. Bổ sung khoản 1a và khoản 4 vào Điều 11 như sau:</w:t>
      </w:r>
    </w:p>
    <w:p>
      <w:pPr>
        <w:jc w:val="both"/>
      </w:pPr>
      <w:r>
        <w:t>“1a. Đối với đối tác cung ứng dịch vụ:</w:t>
      </w:r>
    </w:p>
    <w:p>
      <w:pPr>
        <w:jc w:val="both"/>
      </w:pPr>
      <w:r>
        <w:t>a) Tổ chức cung ứng dịch vụ cổng thanh toán điện tử phải thỏa thuận cụ thể bằng văn bản với ngân hàng hợp tác về các quyền và nghĩa vụ của các bên trong quá trình cung cấp dịch vụ, trong đó phân định rõ trách nhiệm của từng bên trong việc lựa chọn, ký kết hợp đồng hợp tác với các đơn vị chấp nhận thanh toán và trách nhiệm giám sát, kiểm tra đối với các đơn vị chấp nhận thanh toán trong quá trình thực hiện hợp đồng;</w:t>
      </w:r>
    </w:p>
    <w:p>
      <w:pPr>
        <w:jc w:val="both"/>
      </w:pPr>
      <w:r>
        <w:t>b) Trường hợp tổ chức cung ứng dịch vụ cổng thanh toán điện tử ký kết hợp đồng hoặc thỏa thuận trực tiếp với đơn vị chấp nhận thanh toán (thỏa thuận không có ngân hàng hợp tác tham gia), tổ chức cung ứng dịch vụ cổng thanh toán điện tử phải:</w:t>
      </w:r>
    </w:p>
    <w:p>
      <w:pPr>
        <w:jc w:val="both"/>
      </w:pPr>
      <w:r>
        <w:t>(i) Yêu cầu đơn vị chấp nhận thanh toán mở tài khoản thanh toán tại ngân hàng để nhận tiền thanh toán từ việc cung cấp hàng hóa, dịch vụ;</w:t>
      </w:r>
    </w:p>
    <w:p>
      <w:pPr>
        <w:jc w:val="both"/>
      </w:pPr>
      <w:r>
        <w:t>(ii) Xây dựng, thực hiện quy định nội bộ về quy trình, thủ tục nhận biết, xác minh đơn vị chấp nhận thanh toán; thường xuyên cập nhật thông tin về đơn vị chấp nhận thanh toán; xây dựng các tiêu chí lựa chọn, thủ tục phát triển đơn vị chấp nhận thanh toán;</w:t>
      </w:r>
    </w:p>
    <w:p>
      <w:pPr>
        <w:jc w:val="both"/>
      </w:pPr>
      <w:r>
        <w:t>(iii) Đánh giá, phân loại các đơn vị chấp nhận thanh toán theo mức độ rủi ro; thường xuyên theo dõi, giám sát và có biện pháp kiểm tra, quản lý chặt chẽ hoạt động của đơn vị chấp nhận thanh toán trong quá trình thực hiện hợp đồng đã ký kết;</w:t>
      </w:r>
    </w:p>
    <w:p>
      <w:pPr>
        <w:jc w:val="both"/>
      </w:pPr>
      <w:r>
        <w:t>(iv) Hướng dẫn đơn vị chấp nhận thanh toán các biện pháp, quy trình kỹ thuật nghiệp vụ và bảo mật trong thanh toán thông qua dịch vụ trung gian thanh toán;</w:t>
      </w:r>
    </w:p>
    <w:p>
      <w:pPr>
        <w:jc w:val="both"/>
      </w:pPr>
      <w:r>
        <w:t>c) Nội dung hợp đồng giữa tổ chức cung ứng dịch vụ cổng thanh toán điện tử và đơn vị chấp nhận thanh toán trong trường hợp quy định tại điểm b khoản này phải quy định cụ thể các nội dung sau:</w:t>
      </w:r>
    </w:p>
    <w:p>
      <w:pPr>
        <w:jc w:val="both"/>
      </w:pPr>
      <w:r>
        <w:t>(i) Quyền và trách nhiệm của các bên;</w:t>
      </w:r>
    </w:p>
    <w:p>
      <w:pPr>
        <w:jc w:val="both"/>
      </w:pPr>
      <w:r>
        <w:t>(ii) Quy định rõ việc đơn vị chấp nhận thanh toán phải chịu trách nhiệm về tính hợp pháp của các hàng hóa, dịch vụ cung ứng và cam kết không thực hiện các giao dịch bị cấm theo quy định của pháp luật;</w:t>
      </w:r>
    </w:p>
    <w:p>
      <w:pPr>
        <w:jc w:val="both"/>
      </w:pPr>
      <w:r>
        <w:t>(iii) Yêu cầu đơn vị chấp nhận thanh toán cam kết không được thu thêm các loại phí đối với khách hàng khi thanh toán thông qua dịch vụ trung gian thanh toán dưới bất kỳ hình thức nào.”.</w:t>
      </w:r>
    </w:p>
    <w:p>
      <w:pPr>
        <w:jc w:val="both"/>
      </w:pPr>
      <w:r>
        <w:t>“4. Đối với Tổ chức chủ trì BTĐT:</w:t>
      </w:r>
    </w:p>
    <w:p>
      <w:pPr>
        <w:jc w:val="both"/>
      </w:pPr>
      <w:r>
        <w:t>a) Tổ chức chủ trì BTĐT xây dựng và ban hành quy chế nội bộ về tổ chức và vận hành Hệ thống BTĐT phù hợp quy định tại Thông tư này và pháp luật hiện hành về hoạt động thanh toán, đảm bảo có tối thiểu các nội dung sau:</w:t>
      </w:r>
    </w:p>
    <w:p>
      <w:pPr>
        <w:jc w:val="both"/>
      </w:pPr>
      <w:r>
        <w:t>(i) Tiêu chuẩn, yêu cầu đối với thành viên tham gia Hệ thống BTĐT;</w:t>
      </w:r>
    </w:p>
    <w:p>
      <w:pPr>
        <w:jc w:val="both"/>
      </w:pPr>
      <w:r>
        <w:t>(ii) Tạm dừng, chấm dứt tư cách thành viên Hệ thống BTĐT;</w:t>
      </w:r>
    </w:p>
    <w:p>
      <w:pPr>
        <w:jc w:val="both"/>
      </w:pPr>
      <w:r>
        <w:t>(iii) Quy trình nghiệp vụ thanh toán và cơ chế quản lý rủi ro của Hệ thống BTĐT;</w:t>
      </w:r>
    </w:p>
    <w:p>
      <w:pPr>
        <w:jc w:val="both"/>
      </w:pPr>
      <w:r>
        <w:t>(iv) Cơ chế thiết lập, điều chỉnh và quản lý, giám sát Hạn mức BTĐT;</w:t>
      </w:r>
    </w:p>
    <w:p>
      <w:pPr>
        <w:jc w:val="both"/>
      </w:pPr>
      <w:r>
        <w:t>(v) Thời gian hoạt động của Hệ thống BTĐT gồm: thời gian nhận lệnh, thời gian xử lý bù trừ, quyết toán, số phiên giao dịch bù trừ điện tử;</w:t>
      </w:r>
    </w:p>
    <w:p>
      <w:pPr>
        <w:jc w:val="both"/>
      </w:pPr>
      <w:r>
        <w:t>(vi) Việc vấn tin, đối chiếu và quy trình xử lý sai sót, tra soát khiếu nại;</w:t>
      </w:r>
    </w:p>
    <w:p>
      <w:pPr>
        <w:jc w:val="both"/>
      </w:pPr>
      <w:r>
        <w:t>(vii) Xử lý trong trường hợp Hệ thống BTĐT bị gián đoạn hoạt động do bảo trì, bảo dưỡng hoặc sự cố kỹ thuật, các trường hợp khẩn cấp;</w:t>
      </w:r>
    </w:p>
    <w:p>
      <w:pPr>
        <w:jc w:val="both"/>
      </w:pPr>
      <w:r>
        <w:t>(viii) Quyền, nghĩa vụ của các thành viên tham gia Hệ thống BTĐT, trong đó có nghĩa vụ chia sẻ rủi ro trong xử lý quyết toán BTĐT;</w:t>
      </w:r>
    </w:p>
    <w:p>
      <w:pPr>
        <w:jc w:val="both"/>
      </w:pPr>
      <w:r>
        <w:t>(ix) Chính sách phí;</w:t>
      </w:r>
    </w:p>
    <w:p>
      <w:pPr>
        <w:jc w:val="both"/>
      </w:pPr>
      <w:r>
        <w:t>b) Xây dựng hệ thống tiếp nhận và xử lý bù trừ các giao dịch thanh toán của các thành viên, đảm bảo Hệ thống BTĐT vận hành an toàn, thông suốt;</w:t>
      </w:r>
    </w:p>
    <w:p>
      <w:pPr>
        <w:jc w:val="both"/>
      </w:pPr>
      <w:r>
        <w:t>c) Theo dõi, quản lý và cập nhật kịp thời Hạn mức BTĐT của các thành viên quyết toán; áp dụng các biện pháp cảnh báo hiệu quả để thành viên quyết toán kịp thời điều chỉnh tăng Hạn mức BTĐT, đảm bảo tuân thủ quy định tại điểm c khoản 4 Điều 9a Thông tư này;</w:t>
      </w:r>
    </w:p>
    <w:p>
      <w:pPr>
        <w:jc w:val="both"/>
      </w:pPr>
      <w:r>
        <w:t>d) Lập và gửi kết quả BTĐT đến Hệ thống TTĐTLNH để thực hiện quyết toán BTĐT kịp thời, đầy đủ, chính xác cho các thành viên quyết toán;</w:t>
      </w:r>
    </w:p>
    <w:p>
      <w:pPr>
        <w:jc w:val="both"/>
      </w:pPr>
      <w:r>
        <w:t>đ) Nhận và thông báo kết quả quyết toán BTĐT từ Hệ thống TTĐTLNH tới các thành viên quyết toán;</w:t>
      </w:r>
    </w:p>
    <w:p>
      <w:pPr>
        <w:jc w:val="both"/>
      </w:pPr>
      <w:r>
        <w:t>e) Tính toán, xác định nghĩa vụ chia sẻ rủi ro của từng thành viên quyết toán và gửi Ngân hàng Nhà nước (Sở Giao dịch) để làm căn cứ thu hồi nợ đối với khoản vay để quyết toán BTĐT theo quy định tại điểm c khoản 6 Điều 9a Thông tư này.”.</w:t>
      </w:r>
    </w:p>
    <w:p>
      <w:pPr>
        <w:jc w:val="both"/>
      </w:pPr>
      <w:r>
        <w:t>6. Sửa đổi khoản 2 và khoản 3 vào Điều 13 như sau:</w:t>
      </w:r>
    </w:p>
    <w:p>
      <w:pPr>
        <w:jc w:val="both"/>
      </w:pPr>
      <w:r>
        <w:t>“2. Đối với ngân hàng:</w:t>
      </w:r>
    </w:p>
    <w:p>
      <w:pPr>
        <w:jc w:val="both"/>
      </w:pPr>
      <w:r>
        <w:t>a) Đối với ngân hàng hợp tác:</w:t>
      </w:r>
    </w:p>
    <w:p>
      <w:pPr>
        <w:jc w:val="both"/>
      </w:pPr>
      <w:r>
        <w:t>(i) Đáp ứng đầy đủ, kịp thời các nghĩa vụ phát sinh đối với các giao dịch theo thỏa thuận giữa tổ chức cung ứng dịch vụ trung gian thanh toán với ngân hàng hợp tác và phù hợp với các quy định pháp luật;</w:t>
      </w:r>
    </w:p>
    <w:p>
      <w:pPr>
        <w:jc w:val="both"/>
      </w:pPr>
      <w:r>
        <w:t>(ii) Thỏa thuận cụ thể bằng văn bản về các quyền và nghĩa vụ của các bên trong quá trình cung cấp dịch vụ, trong đó phân định rõ trách nhiệm của từng bên trong việc lựa chọn, ký kết hợp đồng hợp tác với các đơn vị chấp nhận thanh toán và trách nhiệm theo dõi các giao dịch thanh toán phát sinh tại đơn vị chấp nhận thanh toán, việc thực hiện các thỏa thuận đã ký kết của đơn vị chấp nhận thanh toán;</w:t>
      </w:r>
    </w:p>
    <w:p>
      <w:pPr>
        <w:jc w:val="both"/>
      </w:pPr>
      <w:r>
        <w:t>(iii) Phối hợp với ngân hàng hợp tác và các đối tác thực hiện kiểm tra, đối soát dữ liệu giao dịch hàng ngày phát sinh trên tài khoản của tổ chức cung ứng dịch vụ trung gian thanh toán mở tại ngân hàng hợp tác theo thỏa thuận giữa các bên;</w:t>
      </w:r>
    </w:p>
    <w:p>
      <w:pPr>
        <w:jc w:val="both"/>
      </w:pPr>
      <w:r>
        <w:t>b) Đối với ngân hàng liên kết:</w:t>
      </w:r>
    </w:p>
    <w:p>
      <w:pPr>
        <w:jc w:val="both"/>
      </w:pPr>
      <w:r>
        <w:t>Tổ chức cung ứng dịch vụ Ví điện tử có trách nhiệm phối hợp với tổ chức cung ứng dịch vụ chuyển mạch và bù trừ điện tử và ngân hàng liên kết để kiểm tra, xác thực, cập nhật đầy đủ và chính xác thông tin khách hàng đăng ký mở Ví điện tử.</w:t>
      </w:r>
    </w:p>
    <w:p>
      <w:pPr>
        <w:jc w:val="both"/>
      </w:pPr>
      <w:r>
        <w:t>3. Trường hợp tổ chức cung ứng dịch vụ ký kết hợp đồng hoặc thỏa thuận trực tiếp với đơn vị chấp nhận thanh toán (thỏa thuận không có ngân hàng hợp tác tham gia), tổ chức cung ứng dịch vụ phải:</w:t>
      </w:r>
    </w:p>
    <w:p>
      <w:pPr>
        <w:jc w:val="both"/>
      </w:pPr>
      <w:r>
        <w:t>a) Xây dựng, thực hiện quy định nội bộ về quy trình, thủ tục nhận biết, xác minh đơn vị chấp nhận thanh toán; thường xuyên cập nhật thông tin về đơn vị chấp nhận thanh toán; xây dựng các tiêu chí lựa chọn, thủ tục phát triển đơn vị chấp nhận thanh toán; đánh giá, phân loại các đơn vị chấp nhận thanh toán theo mức độ rủi ro; thường xuyên theo dõi, giám sát và có biện pháp kiểm tra, quản lý chặt chẽ hoạt động của đơn vị chấp nhận thanh toán trong quá trình thực hiện hợp đồng đã ký kết; hướng dẫn đơn vị chấp nhận thanh toán các biện pháp, quy trình kỹ thuật nghiệp vụ và bảo mật trong thanh toán thông qua dịch vụ trung gian thanh toán;</w:t>
      </w:r>
    </w:p>
    <w:p>
      <w:pPr>
        <w:jc w:val="both"/>
      </w:pPr>
      <w:r>
        <w:t>b) Trong nội dung hợp đồng giữa tổ chức cung ứng dịch vụ và đơn vị chấp nhận thanh toán phải quy định cụ thể các nội dung sau:</w:t>
      </w:r>
    </w:p>
    <w:p>
      <w:pPr>
        <w:jc w:val="both"/>
      </w:pPr>
      <w:r>
        <w:t>(i) Quyền và trách nhiệm của các bên;</w:t>
      </w:r>
    </w:p>
    <w:p>
      <w:pPr>
        <w:jc w:val="both"/>
      </w:pPr>
      <w:r>
        <w:t>(ii) Quy định rõ việc đơn vị chấp nhận thanh toán phải chịu trách nhiệm về tính hợp pháp của các hàng hóa, dịch vụ cung ứng và cam kết không thực hiện các giao dịch bị cấm theo quy định của pháp luật;</w:t>
      </w:r>
    </w:p>
    <w:p>
      <w:pPr>
        <w:jc w:val="both"/>
      </w:pPr>
      <w:r>
        <w:t>(iii) Yêu cầu đơn vị chấp nhận thanh toán cam kết không được thu thêm các loại phí đối với khách hàng khi thanh toán thông qua dịch vụ trung gian thanh toán dưới bất kỳ hình thức nào.”.</w:t>
      </w:r>
    </w:p>
    <w:p>
      <w:pPr>
        <w:jc w:val="both"/>
      </w:pPr>
      <w:r>
        <w:t>7. Điều 14 được sửa đổi, bổ sung như sau:</w:t>
      </w:r>
    </w:p>
    <w:p>
      <w:pPr>
        <w:jc w:val="both"/>
      </w:pPr>
      <w:r>
        <w:t>“Điều 14. Quyền của ngân hàng</w:t>
      </w:r>
    </w:p>
    <w:p>
      <w:pPr>
        <w:jc w:val="both"/>
      </w:pPr>
      <w:r>
        <w:t>1. Quyền của ngân hàng:</w:t>
      </w:r>
    </w:p>
    <w:p>
      <w:pPr>
        <w:jc w:val="both"/>
      </w:pPr>
      <w:r>
        <w:t>a) Lựa chọn tổ chức không phải là ngân hàng để hợp tác, thử nghiệm kỹ thuật một hoặc một số dịch vụ trung gian thanh toán;</w:t>
      </w:r>
    </w:p>
    <w:p>
      <w:pPr>
        <w:jc w:val="both"/>
      </w:pPr>
      <w:r>
        <w:t>b) Ký kết hợp đồng sử dụng dịch vụ cung ứng hạ tầng thanh toán điện tử và/hoặc hợp tác triển khai cung cấp dịch vụ hỗ trợ dịch vụ thanh toán với các tổ chức cung ứng dịch vụ trung gian thanh toán đã được Ngân hàng Nhà nước cấp Giấy phép;</w:t>
      </w:r>
    </w:p>
    <w:p>
      <w:pPr>
        <w:jc w:val="both"/>
      </w:pPr>
      <w:r>
        <w:t>c) Thực hiện các quyền theo hợp đồng và các thỏa thuận với tổ chức cung ứng dịch vụ trung gian thanh toán và các bên liên quan.</w:t>
      </w:r>
    </w:p>
    <w:p>
      <w:pPr>
        <w:jc w:val="both"/>
      </w:pPr>
      <w:r>
        <w:t>2. Quyền của ngân hàng hợp tác:</w:t>
      </w:r>
    </w:p>
    <w:p>
      <w:pPr>
        <w:jc w:val="both"/>
      </w:pPr>
      <w:r>
        <w:t>a) Yêu cầu các tổ chức cung ứng dịch vụ trung gian thanh toán cung cấp các thông tin cần thiết liên quan đến các giao dịch thanh toán thông qua dịch vụ trung gian thanh toán phù hợp với quy định của pháp luật;</w:t>
      </w:r>
    </w:p>
    <w:p>
      <w:pPr>
        <w:jc w:val="both"/>
      </w:pPr>
      <w:r>
        <w:t>b) Từ chối giao dịch nếu tổ chức cung ứng dịch vụ Ví điện tử không sử dụng tài khoản đảm bảo thanh toán theo quy định tại Điều 8 Thông tư này;</w:t>
      </w:r>
    </w:p>
    <w:p>
      <w:pPr>
        <w:jc w:val="both"/>
      </w:pPr>
      <w:r>
        <w:t>c) Trường hợp ngân hàng hợp tác đồng thời là ngân hàng liên kết, ngân hàng hợp tác có các quyền quy định tại khoản 3 Điều này.</w:t>
      </w:r>
    </w:p>
    <w:p>
      <w:pPr>
        <w:jc w:val="both"/>
      </w:pPr>
      <w:r>
        <w:t>3. Ngân hàng liên kết có quyền yêu cầu tổ chức cung ứng dịch vụ Ví điện tử cung cấp các thông tin của khách hàng để phục vụ việc liên kết Ví điện tử với tài khoản thanh toán và/hoặc thẻ ghi nợ của khách hàng mở tại ngân hàng liên kết.”.</w:t>
      </w:r>
    </w:p>
    <w:p>
      <w:pPr>
        <w:jc w:val="both"/>
      </w:pPr>
      <w:r>
        <w:t>8. Điều 15 được sửa đổi, bổ sung như sau:</w:t>
      </w:r>
    </w:p>
    <w:p>
      <w:pPr>
        <w:jc w:val="both"/>
      </w:pPr>
      <w:r>
        <w:t>“Điều 15. Trách nhiệm của ngân hàng</w:t>
      </w:r>
    </w:p>
    <w:p>
      <w:pPr>
        <w:jc w:val="both"/>
      </w:pPr>
      <w:r>
        <w:t>1. Trách nhiệm của ngân hàng:</w:t>
      </w:r>
    </w:p>
    <w:p>
      <w:pPr>
        <w:jc w:val="both"/>
      </w:pPr>
      <w:r>
        <w:t>a) Chỉ hợp tác cung ứng dịch vụ trung gian thanh toán với các tổ chức không phải là ngân hàng được Ngân hàng Nhà nước cấp Giấy phép;</w:t>
      </w:r>
    </w:p>
    <w:p>
      <w:pPr>
        <w:jc w:val="both"/>
      </w:pPr>
      <w:r>
        <w:t>b) Các nghĩa vụ theo hợp đồng với tổ chức cung ứng dịch vụ trung gian thanh toán, đơn vị chấp nhận thanh toán, khách hàng và các bên liên quan.</w:t>
      </w:r>
    </w:p>
    <w:p>
      <w:pPr>
        <w:jc w:val="both"/>
      </w:pPr>
      <w:r>
        <w:t>2. Trách nhiệm của ngân hàng hợp tác:</w:t>
      </w:r>
    </w:p>
    <w:p>
      <w:pPr>
        <w:jc w:val="both"/>
      </w:pPr>
      <w:r>
        <w:t>a) Phối hợp với tổ chức cung ứng dịch vụ trung gian thanh toán và các đối tác thực hiện kiểm tra, đối soát dữ liệu giao dịch hàng ngày phát sinh trên tài khoản của tổ chức cung ứng dịch vụ trung gian thanh toán mở tại ngân hàng hợp tác theo thỏa thuận giữa các bên;</w:t>
      </w:r>
    </w:p>
    <w:p>
      <w:pPr>
        <w:jc w:val="both"/>
      </w:pPr>
      <w:r>
        <w:t>b) Thực hiện việc thanh toán các giao dịch thanh toán cho các bên liên quan theo quy định của Ngân hàng Nhà nước và hợp đồng hợp tác cung cấp dịch vụ cho tổ chức cung ứng dịch vụ trung gian thanh toán;</w:t>
      </w:r>
    </w:p>
    <w:p>
      <w:pPr>
        <w:jc w:val="both"/>
      </w:pPr>
      <w:r>
        <w:t>c) Mở tài khoản đảm bảo thanh toán cho tổ chức cung ứng dịch vụ Ví điện tử và đảm bảo tài khoản này không được sử dụng chung với tài khoản đảm bảo thanh toán cho việc cung ứng dịch vụ hỗ trợ thu hộ, chi hộ (nếu có), tách bạch với các tài khoản thanh toán thông thường khác của tổ chức cung ứng dịch vụ Ví điện tử; quản lý các biện pháp đảm bảo khả năng thanh toán của tổ chức cung ứng dịch vụ hỗ trợ thu hộ, chi hộ, mục đích sử dụng tài khoản đảm bảo thanh toán cho dịch vụ Ví điện tử theo đúng hợp đồng hợp tác đã ký với tổ chức cung ứng dịch vụ Ví điện tử và quy định tại Thông tư này;</w:t>
      </w:r>
    </w:p>
    <w:p>
      <w:pPr>
        <w:jc w:val="both"/>
      </w:pPr>
      <w:r>
        <w:t>d) Phối hợp với tổ chức cung ứng dịch vụ trung gian thanh toán xây dựng quy trình và thủ tục giải quyết khiếu nại của khách hàng liên quan tới các giao dịch thanh toán thông qua dịch vụ trung gian thanh toán.</w:t>
      </w:r>
    </w:p>
    <w:p>
      <w:pPr>
        <w:jc w:val="both"/>
      </w:pPr>
      <w:r>
        <w:t>3. Trường hợp ngân hàng hợp tác ký kết hợp đồng hoặc thỏa thuận trực tiếp với đơn vị chấp nhận thanh toán (thỏa thuận có tổ chức cung ứng dịch vụ trung gian thanh toán tham gia), ngân hàng hợp tác phải:</w:t>
      </w:r>
    </w:p>
    <w:p>
      <w:pPr>
        <w:jc w:val="both"/>
      </w:pPr>
      <w:r>
        <w:t>a) Xây dựng, thực hiện quy định nội bộ về quy trình, thủ tục nhận biết, xác minh đơn vị chấp nhận thanh toán; thường xuyên cập nhật thông tin về đơn vị chấp nhận thanh toán; xây dựng các tiêu chí lựa chọn, thủ tục phát triển đơn vị chấp nhận thanh toán; đánh giá, phân loại các đơn vị chấp nhận thanh toán theo mức độ rủi ro; thường xuyên theo dõi, giám sát và có biện pháp kiểm tra, quản lý chặt chẽ hoạt động của đơn vị chấp nhận thanh toán trong quá trình thực hiện hợp đồng đã ký kết; hướng dẫn đơn vị chấp nhận thanh toán các biện pháp, quy trình kỹ thuật nghiệp vụ và bảo mật trong thanh toán thông qua dịch vụ trung gian thanh toán;</w:t>
      </w:r>
    </w:p>
    <w:p>
      <w:pPr>
        <w:jc w:val="both"/>
      </w:pPr>
      <w:r>
        <w:t>b) Trong nội dung hợp đồng giữa ngân hàng hợp tác và đơn vị chấp nhận thanh toán phải quy định cụ thể các nội dung sau:</w:t>
      </w:r>
    </w:p>
    <w:p>
      <w:pPr>
        <w:jc w:val="both"/>
      </w:pPr>
      <w:r>
        <w:t>(i) Quyền và trách nhiệm của các bên;</w:t>
      </w:r>
    </w:p>
    <w:p>
      <w:pPr>
        <w:jc w:val="both"/>
      </w:pPr>
      <w:r>
        <w:t>(ii) Quy định rõ việc đơn vị chấp nhận thanh toán phải chịu trách nhiệm về tính hợp pháp của các hàng hóa, dịch vụ cung ứng và cam kết không thực hiện các giao dịch bị cấm theo quy định của pháp luật;</w:t>
      </w:r>
    </w:p>
    <w:p>
      <w:pPr>
        <w:jc w:val="both"/>
      </w:pPr>
      <w:r>
        <w:t>(iii) Yêu cầu đơn vị chấp nhận thanh toán cam kết không được thu thêm các loại phí đối với khách hàng khi thanh toán thông qua dịch vụ trung gian thanh toán dưới bất kỳ hình thức nào;</w:t>
      </w:r>
    </w:p>
    <w:p>
      <w:pPr>
        <w:jc w:val="both"/>
      </w:pPr>
      <w:r>
        <w:t>c) Trường hợp đơn vị chấp nhận thanh toán trực tiếp là tổ chức cung ứng dịch vụ trung gian thanh toán (đơn vị cung ứng hàng hóa, dịch vụ và chấp nhận thanh toán thông qua một hoặc một số dịch vụ trung gian thanh toán do chính mình cung ứng), ngân hàng hợp tác là đơn vị chịu trách nhiệm quản lý, giám sát hoạt động của đơn vị chấp nhận thanh toán theo quy định tại điểm a, điểm b, khoản này.</w:t>
      </w:r>
    </w:p>
    <w:p>
      <w:pPr>
        <w:jc w:val="both"/>
      </w:pPr>
      <w:r>
        <w:t>4. Trường hợp ngân hàng hợp tác đồng thời là ngân hàng liên kết, ngân hàng hợp tác có các trách nhiệm quy định tại khoản 5 Điều này.</w:t>
      </w:r>
    </w:p>
    <w:p>
      <w:pPr>
        <w:jc w:val="both"/>
      </w:pPr>
      <w:r>
        <w:t>5. Ngân hàng liên kết có trách nhiệm phối hợp với tổ chức cung ứng dịch vụ chuyển mạch và bù trừ điện tử và tổ chức cung ứng dịch vụ Ví điện tử để kiểm tra, xác thực, cập nhật đầy đủ và chính xác thông tin khách hàng đăng ký mở Ví điện tử.”.</w:t>
      </w:r>
    </w:p>
    <w:p>
      <w:pPr>
        <w:jc w:val="both"/>
      </w:pPr>
      <w:r>
        <w:t>9. Bổ sung Điều 15a vào sau Điều 15 như sau:</w:t>
      </w:r>
    </w:p>
    <w:p>
      <w:pPr>
        <w:jc w:val="both"/>
      </w:pPr>
      <w:r>
        <w:t>“Điều 15a. Trách nhiệm của thành viên quyết toán</w:t>
      </w:r>
    </w:p>
    <w:p>
      <w:pPr>
        <w:jc w:val="both"/>
      </w:pPr>
      <w:r>
        <w:t>1. Chủ động theo dõi, quản lý và bổ sung kịp thời số dư Có trên tài khoản thanh toán của tổ chức mình mở tại Ngân hàng Nhà nước (Sở Giao dịch) đảm bảo khả năng chi trả để thực hiện quyết toán BTĐT và thực hiện đầy đủ, kịp thời các nghĩa vụ phát sinh khi tham gia Hệ thống BTĐT.</w:t>
      </w:r>
    </w:p>
    <w:p>
      <w:pPr>
        <w:jc w:val="both"/>
      </w:pPr>
      <w:r>
        <w:t>2. Thiết lập, duy trì và quản lý Hạn mức BTĐT theo đúng quy định. Chủ động theo dõi, giám sát và kịp thời điều chỉnh tăng Hạn mức BTĐT để đảm bảo các giao dịch thanh toán của khách hàng qua Hệ thống BTĐT được thực hiện thông suốt, không bị gián đoạn.</w:t>
      </w:r>
    </w:p>
    <w:p>
      <w:pPr>
        <w:jc w:val="both"/>
      </w:pPr>
      <w:r>
        <w:t>3. Tuân thủ các quy định về tổ chức, vận hành hệ thống của Tổ chức chủ trì BTĐT.”.</w:t>
      </w:r>
    </w:p>
    <w:p>
      <w:pPr>
        <w:jc w:val="both"/>
      </w:pPr>
      <w:r>
        <w:t>10. Điều 16 được sửa đổi, bổ sung như sau:</w:t>
      </w:r>
    </w:p>
    <w:p>
      <w:pPr>
        <w:jc w:val="both"/>
      </w:pPr>
      <w:r>
        <w:t>“Điều 16. Báo cáo, cung cấp thông tin</w:t>
      </w:r>
    </w:p>
    <w:p>
      <w:pPr>
        <w:jc w:val="both"/>
      </w:pPr>
      <w:r>
        <w:t>1. Tổ chức cung ứng dịch vụ trung gian thanh toán có trách nhiệm báo cáo, cung cấp thông tin cho Ngân hàng Nhà nước như sau:</w:t>
      </w:r>
    </w:p>
    <w:p>
      <w:pPr>
        <w:jc w:val="both"/>
      </w:pPr>
      <w:r>
        <w:t>a) Báo cáo tình hình hoạt động cung ứng dịch vụ trung gian thanh toán định kỳ hàng quý, năm theo Phụ lục số 02 ban hành kèm theo Thông tư này;</w:t>
      </w:r>
    </w:p>
    <w:p>
      <w:pPr>
        <w:jc w:val="both"/>
      </w:pPr>
      <w:r>
        <w:t>b) Thông tin tài khoản đảm bảo thanh toán cho dịch vụ Ví điện tử trong vòng 05 ngày làm việc kể từ ngày ký kết hợp đồng/thỏa thuận hợp tác cung ứng dịch vụ trung gian thanh toán với ngân hàng hợp tác, mở và sử dụng tài khoản đảm bảo thanh toán cho dịch vụ Ví điện tử, bao gồm:</w:t>
      </w:r>
    </w:p>
    <w:p>
      <w:pPr>
        <w:jc w:val="both"/>
      </w:pPr>
      <w:r>
        <w:t>(i) Số hiệu tài khoản, ngày mở tài khoản, ngân hàng mở và quản lý tài khoản;</w:t>
      </w:r>
    </w:p>
    <w:p>
      <w:pPr>
        <w:jc w:val="both"/>
      </w:pPr>
      <w:r>
        <w:t>(ii) Bản sao hợp đồng/thỏa thuận hợp tác cung ứng dịch vụ trung gian thanh toán với ngân hàng hợp tác, mở và sử dụng tài khoản đảm bảo thanh toán cho dịch vụ Ví điện tử;</w:t>
      </w:r>
    </w:p>
    <w:p>
      <w:pPr>
        <w:jc w:val="both"/>
      </w:pPr>
      <w:r>
        <w:t>c) Báo cáo tình hình rủi ro gian lận, giả mạo qua địa chỉ thư điện tử tt@sbv.gov.vn trong vòng 24 giờ kể từ khi phát hiện các vụ việc liên quan đến rủi ro gian lận, giả mạo gây thiệt hại về tài chính cho khách hàng sử dụng dịch vụ trung gian thanh toán và gửi báo cáo bằng văn bản (giấy) hoặc điện tử theo Phụ lục số 04 ban hành kèm theo Thông tư này trong vòng 03 ngày làm việc kể từ khi có báo cáo qua thư điện tử cho Ngân hàng Nhà nước;</w:t>
      </w:r>
    </w:p>
    <w:p>
      <w:pPr>
        <w:jc w:val="both"/>
      </w:pPr>
      <w:r>
        <w:t>d) Báo cáo sự cố khi phát hiện sự cố gây gián đoạn hoạt động cung ứng dịch vụ trung gian thanh toán quá 2 giờ qua địa chỉ thư điện tử tt@sbv.gov.vn trong vòng 24 giờ kể từ thời điểm phát sinh sự cố và gửi báo cáo bằng văn bản (giấy) hoặc điện tử theo Phụ lục số 05 ban hành kèm theo Thông tư này trong vòng 03 ngày sau khi hoàn thành khắc phục sự cố. Quy định này không áp dụng đối với các trường hợp phải thực hiện thông báo sự cố theo quy định tại Thông tư số 20/2018/TT-NHNN ngày 30 tháng 8 năm 2018 của Thống đốc Ngân hàng Nhà nước quy định về giám sát các hệ thống thanh toán và các văn bản sửa đổi, bổ sung, thay thế (nếu có);</w:t>
      </w:r>
    </w:p>
    <w:p>
      <w:pPr>
        <w:jc w:val="both"/>
      </w:pPr>
      <w:r>
        <w:t>đ) Phương thức báo cáo:</w:t>
      </w:r>
    </w:p>
    <w:p>
      <w:pPr>
        <w:jc w:val="both"/>
      </w:pPr>
      <w:r>
        <w:t>(i) Báo cáo điện tử thể hiện dưới dạng tệp (file) dữ liệu điện tử được truyền qua mạng máy tính hoặc gửi qua vật mang tin, có chữ ký điện tử của người đại diện hợp pháp của tổ chức báo cáo theo đúng ký hiệu, mã truyền tin, cấu trúc tệp do Ngân hàng Nhà nước quy định;</w:t>
      </w:r>
    </w:p>
    <w:p>
      <w:pPr>
        <w:jc w:val="both"/>
      </w:pPr>
      <w:r>
        <w:t>(ii) Báo cáo bằng văn bản (giấy) trực tiếp hoặc qua dịch vụ bưu chính về Ngân hàng Nhà nước (Vụ Thanh toán) trong trường hợp không thực hiện được báo cáo thông qua hệ thống báo cáo điện tử, có chữ ký của người đại diện hợp pháp của tổ chức báo cáo;</w:t>
      </w:r>
    </w:p>
    <w:p>
      <w:pPr>
        <w:jc w:val="both"/>
      </w:pPr>
      <w:r>
        <w:t>e) Định kỳ và thời hạn của báo cáo quy định tại điểm a khoản này như sau:</w:t>
      </w:r>
    </w:p>
    <w:p>
      <w:pPr>
        <w:jc w:val="both"/>
      </w:pPr>
      <w:r>
        <w:t>(i) Kỳ báo cáo quý được tính từ ngày 01 tháng đầu quý đến hết ngày cuối cùng của tháng cuối quý (tổ chức cung ứng dịch vụ trung gian thanh toán chỉ thực hiện báo cáo Quý I, II và III); thời hạn nộp báo cáo chậm nhất là ngày 05 của tháng đầu tiên quý tiếp theo;</w:t>
      </w:r>
    </w:p>
    <w:p>
      <w:pPr>
        <w:jc w:val="both"/>
      </w:pPr>
      <w:r>
        <w:t>(ii) Kỳ báo cáo năm được tính từ ngày 01 tháng 01 đến ngày 31 tháng 12; thời hạn gửi báo cáo chậm nhất vào ngày 15 của tháng đầu năm tiếp theo ngay sau kỳ báo cáo.</w:t>
      </w:r>
    </w:p>
    <w:p>
      <w:pPr>
        <w:jc w:val="both"/>
      </w:pPr>
      <w:r>
        <w:t>2. Tổ chức cung ứng dịch vụ trung gian thanh toán, ngân hàng có trách nhiệm giữ bí mật các thông tin liên quan đến giao dịch thanh toán thông qua dịch vụ trung gian thanh toán, thông tin cá nhân của khách hàng, tài khoản thanh toán, thẻ ghi nợ của khách hàng và chỉ được cung cấp thông tin trong các trường hợp sau:</w:t>
      </w:r>
    </w:p>
    <w:p>
      <w:pPr>
        <w:jc w:val="both"/>
      </w:pPr>
      <w:r>
        <w:t>a) Theo yêu cầu của khách hàng;</w:t>
      </w:r>
    </w:p>
    <w:p>
      <w:pPr>
        <w:jc w:val="both"/>
      </w:pPr>
      <w:r>
        <w:t>b) Theo quy định của pháp luật.</w:t>
      </w:r>
    </w:p>
    <w:p>
      <w:pPr>
        <w:jc w:val="both"/>
      </w:pPr>
      <w:r>
        <w:t>3. Tổ chức cung ứng dịch vụ trung gian thanh toán có trách nhiệm cử cán bộ đầu mối chịu trách nhiệm báo cáo, cung cấp thông tin cho Ngân hàng Nhà nước (Vụ Thanh toán) và xử lý các rủi ro, sự cố phát sinh.</w:t>
      </w:r>
    </w:p>
    <w:p>
      <w:pPr>
        <w:jc w:val="both"/>
      </w:pPr>
      <w:r>
        <w:t>4. Ngân hàng hợp tác của tổ chức cung ứng dịch vụ trung gian thanh toán có trách nhiệm cung cấp thông tin tài khoản đảm bảo thanh toán cho dịch vụ Ví điện tử thông qua Hệ thống thu thập thông tin trực tuyến của Ngân hàng Nhà nước.”.</w:t>
      </w:r>
    </w:p>
    <w:p>
      <w:pPr>
        <w:jc w:val="both"/>
      </w:pPr>
      <w:r>
        <w:t>11. Sửa đổi khoản 6 và bổ sung khoản 7, 8, 9, 10 vào Điều 18 như sau:</w:t>
      </w:r>
    </w:p>
    <w:p>
      <w:pPr>
        <w:jc w:val="both"/>
      </w:pPr>
      <w:r>
        <w:t>“6. Thực hiện trách nhiệm giám sát hoạt động cung ứng dịch vụ trung gian thanh toán.</w:t>
      </w:r>
    </w:p>
    <w:p>
      <w:pPr>
        <w:jc w:val="both"/>
      </w:pPr>
      <w:r>
        <w:t>7. Phối hợp với Cục Công nghệ thông tin xây dựng hệ thống báo cáo điện tử để tiếp nhận, tổng hợp, khai thác và lưu trữ các số liệu báo cáo theo quy định tại Điều 16 Thông tư này.</w:t>
      </w:r>
    </w:p>
    <w:p>
      <w:pPr>
        <w:jc w:val="both"/>
      </w:pPr>
      <w:r>
        <w:t>8. Cung cấp thông tin cho Cơ quan Thanh tra, giám sát ngân hàng, Ngân hàng Nhà nước chi nhánh tỉnh, thành phố trực thuộc Trung ương khi phát hiện dấu hiệu vi phạm hoặc hành vi vi phạm quy định pháp luật về việc cung ứng dịch vụ trung gian thanh toán.</w:t>
      </w:r>
    </w:p>
    <w:p>
      <w:pPr>
        <w:jc w:val="both"/>
      </w:pPr>
      <w:r>
        <w:t>9. Đầu mối, phối hợp với Cơ quan Thanh tra, giám sát ngân hàng, Ngân hàng Nhà nước chi nhánh tỉnh, thành phố trực thuộc Trung ương trong công tác kiểm tra việc tuân thủ các quy định về hoạt động cung ứng dịch vụ trung gian thanh toán.</w:t>
      </w:r>
    </w:p>
    <w:p>
      <w:pPr>
        <w:jc w:val="both"/>
      </w:pPr>
      <w:r>
        <w:t>10. Phối hợp với Cơ quan Thanh tra, giám sát ngân hàng, Ngân hàng Nhà nước chi nhánh tỉnh, thành phố trực thuộc Trung ương trong công tác thanh tra các tổ chức cung ứng dịch vụ trung gian thanh toán theo quy định của pháp luật.</w:t>
      </w:r>
    </w:p>
    <w:p>
      <w:pPr>
        <w:jc w:val="both"/>
      </w:pPr>
      <w:r>
        <w:t>11. Đầu mối, phối hợp với các đơn vị liên quan tham mưu cho Thống đốc Ngân hàng Nhà nước về tỷ lệ ký quỹ thiết lập Hạn mức BTĐT.”.</w:t>
      </w:r>
    </w:p>
    <w:p>
      <w:pPr>
        <w:jc w:val="both"/>
      </w:pPr>
      <w:r>
        <w:t>12. Điều 19 được sửa đổi, bổ sung như sau:</w:t>
      </w:r>
    </w:p>
    <w:p>
      <w:pPr>
        <w:jc w:val="both"/>
      </w:pPr>
      <w:r>
        <w:t>“Điều 19. Cục Công nghệ thông tin</w:t>
      </w:r>
    </w:p>
    <w:p>
      <w:pPr>
        <w:jc w:val="both"/>
      </w:pPr>
      <w:r>
        <w:t>1. Trong thời hạn tối đa 15 ngày làm việc kể từ ngày nhận được văn bản đề nghị của Vụ Thanh toán, Cục Công nghệ thông tin có trách nhiệm xem xét, đánh giá và có văn bản gửi Vụ Thanh toán xác nhận các điều kiện về mặt kỹ thuật, giải pháp công nghệ, khả năng về an toàn bảo mật, đội ngũ cán bộ kỹ thuật đảm bảo thực hiện dịch vụ trung gian thanh toán của tổ chức đề nghị cấp Giấy phép.</w:t>
      </w:r>
    </w:p>
    <w:p>
      <w:pPr>
        <w:jc w:val="both"/>
      </w:pPr>
      <w:r>
        <w:t>2. Đầu mối, phối hợp với Cơ quan Thanh tra, giám sát ngân hàng kiểm tra việc tuân thủ các quy định về an toàn, bảo mật trong giao dịch điện tử của tổ chức cung ứng dịch vụ trung gian thanh toán theo quy định của pháp luật.</w:t>
      </w:r>
    </w:p>
    <w:p>
      <w:pPr>
        <w:jc w:val="both"/>
      </w:pPr>
      <w:r>
        <w:t>3. Phối hợp với Cơ quan Thanh tra, giám sát ngân hàng, Ngân hàng Nhà nước chi nhánh tỉnh, thành phố trực thuộc Trung ương trong công tác thanh tra các tổ chức cung ứng dịch vụ trung gian thanh toán theo quy định của pháp luật.</w:t>
      </w:r>
    </w:p>
    <w:p>
      <w:pPr>
        <w:jc w:val="both"/>
      </w:pPr>
      <w:r>
        <w:t>4. Phối hợp với tổ chức cung ứng dịch vụ Ví điện tử và Vụ Thanh toán trong việc trang bị công cụ để giám sát hoạt động cung ứng dịch vụ Ví điện tử theo quy định tại khoản 7 Điều 9 Thông tư này.</w:t>
      </w:r>
    </w:p>
    <w:p>
      <w:pPr>
        <w:jc w:val="both"/>
      </w:pPr>
      <w:r>
        <w:t>5. Đầu mối, phối hợp với Vụ Thanh toán xây dựng và duy trì hoạt động của hệ thống báo cáo điện tử để tiếp nhận, tổng hợp, khai thác và lưu trữ các số liệu báo cáo theo quy định tại Điều 16 Thông tư này.</w:t>
      </w:r>
    </w:p>
    <w:p>
      <w:pPr>
        <w:jc w:val="both"/>
      </w:pPr>
      <w:r>
        <w:t>6. Nghiên cứu, xây dựng các giải pháp kỹ thuật để đáp ứng nhu cầu phát triển và mở rộng Hệ thống TTĐTLNH, cho phép tiếp nhận, xử lý kết quả quyết toán từ hệ thống của Tổ chức chủ trì BTĐT.</w:t>
      </w:r>
    </w:p>
    <w:p>
      <w:pPr>
        <w:jc w:val="both"/>
      </w:pPr>
      <w:r>
        <w:t>7. Nghiên cứu, xây dựng ứng dụng kỹ thuật cho phép trao đổi, phản hồi thông tin về Hạn mức BTĐT giữa Ngân hàng Nhà nước (Sở Giao dịch) và Tổ chức chủ trì BTĐT, xử lý kết quả BTĐT.”.</w:t>
      </w:r>
    </w:p>
    <w:p>
      <w:pPr>
        <w:jc w:val="both"/>
      </w:pPr>
      <w:r>
        <w:t>13. Điều 20 được sửa đổi, bổ sung như sau:</w:t>
      </w:r>
    </w:p>
    <w:p>
      <w:pPr>
        <w:jc w:val="both"/>
      </w:pPr>
      <w:r>
        <w:t>“Điều 20. Cơ quan Thanh tra, giám sát ngân hàng</w:t>
      </w:r>
    </w:p>
    <w:p>
      <w:pPr>
        <w:jc w:val="both"/>
      </w:pPr>
      <w:r>
        <w:t>1. Tiếp nhận thông tin do Vụ Thanh toán cung cấp theo quy định tại khoản 8 Điều 18 và xem xét xử lý theo quy định của pháp luật.</w:t>
      </w:r>
    </w:p>
    <w:p>
      <w:pPr>
        <w:jc w:val="both"/>
      </w:pPr>
      <w:r>
        <w:t>2. Thực hiện chức năng tham mưu, giúp Thống đốc Ngân hàng Nhà nước quản lý nhà nước về công tác phòng, chống rửa tiền đối với hoạt động cung ứng dịch vụ trung gian thanh toán.</w:t>
      </w:r>
    </w:p>
    <w:p>
      <w:pPr>
        <w:jc w:val="both"/>
      </w:pPr>
      <w:r>
        <w:t>3. Phối hợp với Vụ Thanh toán, Cục Công nghệ thông tin trong công tác kiểm tra việc tuân thủ các quy định về hoạt động cung ứng dịch vụ trung gian thanh toán.</w:t>
      </w:r>
    </w:p>
    <w:p>
      <w:pPr>
        <w:jc w:val="both"/>
      </w:pPr>
      <w:r>
        <w:t>4. Đầu mối thực hiện thanh tra hoạt động cung ứng dịch vụ trung gian thanh toán của Công ty Cổ phần Thanh toán Quốc gia Việt Nam theo quy định của pháp luật.”.</w:t>
      </w:r>
    </w:p>
    <w:p>
      <w:pPr>
        <w:jc w:val="both"/>
      </w:pPr>
      <w:r>
        <w:t>14. Bổ sung Điều 20a vào sau Điều 20 như sau:</w:t>
      </w:r>
    </w:p>
    <w:p>
      <w:pPr>
        <w:jc w:val="both"/>
      </w:pPr>
      <w:r>
        <w:t>“Điều 20a. Sở Giao dịch</w:t>
      </w:r>
    </w:p>
    <w:p>
      <w:pPr>
        <w:jc w:val="both"/>
      </w:pPr>
      <w:r>
        <w:t>1. Đầu mối tiếp nhận và quản lý giấy tờ có giá của thành viên quyết toán; trao đổi thông tin liên quan tới Hạn mức BTĐT của thành viên quyết toán thông qua ứng dụng trên Hệ thống TTĐTLNH.</w:t>
      </w:r>
    </w:p>
    <w:p>
      <w:pPr>
        <w:jc w:val="both"/>
      </w:pPr>
      <w:r>
        <w:t>2. Hạch toán kết quả BTĐT vào tài khoản thanh toán của các bên liên quan.</w:t>
      </w:r>
    </w:p>
    <w:p>
      <w:pPr>
        <w:jc w:val="both"/>
      </w:pPr>
      <w:r>
        <w:t>3. Xử lý trong trường hợp thành viên quyết toán của Hệ thống BTĐT không đủ khả năng chi trả theo quy định tại khoản 6 Điều 9a Thông tư này.”.</w:t>
      </w:r>
    </w:p>
    <w:p>
      <w:pPr>
        <w:jc w:val="both"/>
      </w:pPr>
      <w:r>
        <w:t>15. Bổ sung Điều 20b vào sau Điều 20a như sau:</w:t>
      </w:r>
    </w:p>
    <w:p>
      <w:pPr>
        <w:jc w:val="both"/>
      </w:pPr>
      <w:r>
        <w:t>“Điều 20b. Ngân hàng Nhà nước chi nhánh tỉnh, thành phố trực thuộc Trung ương</w:t>
      </w:r>
    </w:p>
    <w:p>
      <w:pPr>
        <w:jc w:val="both"/>
      </w:pPr>
      <w:r>
        <w:t>1. Đầu mối thực hiện thanh tra hoạt động cung ứng dịch vụ trung gian thanh toán của các tổ chức cung ứng dịch vụ trung gian thanh toán không phải là ngân hàng có trụ sở đặt tại địa bàn tỉnh, thành phố theo quy định của pháp luật, trừ đối tượng quy định tại khoản 4 Điều 20 Thông tư này.</w:t>
      </w:r>
    </w:p>
    <w:p>
      <w:pPr>
        <w:jc w:val="both"/>
      </w:pPr>
      <w:r>
        <w:t>2. Tiếp nhận thông tin do Vụ Thanh toán cung cấp theo quy định tại khoản 8 Điều 18 và xem xét xử lý theo quy định của pháp luật.</w:t>
      </w:r>
    </w:p>
    <w:p>
      <w:pPr>
        <w:jc w:val="both"/>
      </w:pPr>
      <w:r>
        <w:t>3. Phối hợp với Vụ Thanh toán trong công tác kiểm tra việc tuân thủ các quy định về hoạt động cung ứng dịch vụ trung gian thanh toán.”.</w:t>
      </w:r>
    </w:p>
    <w:p>
      <w:pPr>
        <w:jc w:val="both"/>
      </w:pPr>
      <w:r>
        <w:t>16. Thay thế Phụ lục số 01, 02 và 03 ban hành kèm theo Thông tư số 39/2014/TT-NHNN ngày 11 tháng 12 năm 2014 của Thống đốc Ngân hàng Nhà nước hướng dẫn về dịch vụ trung gian thanh toán bằng Phụ lục số 01, 02 và 03 ban hành kèm theo Thông tư này.</w:t>
      </w:r>
    </w:p>
    <w:p>
      <w:pPr>
        <w:jc w:val="both"/>
      </w:pPr>
      <w:r>
        <w:t>17. Bổ sung thêm Phụ lục số 04, 05 và 06 vào Thông tư số 39/2014/TT-NHNN ngày 11 tháng 12 năm 2014 của Thống đốc Ngân hàng Nhà nước hướng dẫn về dịch vụ trung gian thanh toán.</w:t>
      </w:r>
    </w:p>
    <w:p>
      <w:pPr>
        <w:jc w:val="both"/>
      </w:pPr>
      <w:r>
        <w:rPr>
          <w:b/>
        </w:rPr>
        <w:t>Điều 2. Điều khoản chuyển tiếp</w:t>
      </w:r>
    </w:p>
    <w:p>
      <w:pPr>
        <w:jc w:val="both"/>
      </w:pPr>
      <w:r>
        <w:t>1. Tổ chức cung ứng dịch vụ Ví điện tử rà soát hồ sơ khách hàng mở Ví điện tử được mở trước thời điểm Thông tư này có hiệu lực thi hành và thực hiện thu thập bổ sung các thông tin, tài liệu của khách hàng, xác thực thông tin khách hàng mở Ví điện tử theo quy định tại Thông tư này trong vòng 06 tháng kể từ ngày Thông tư này có hiệu lực thi hành. Sau 06 tháng kể từ ngày Thông tư này có hiệu lực thi hành, tổ chức cung ứng dịch vụ Ví điện tử phải chấm dứt cung ứng dịch vụ đối với khách hàng sử dụng Ví điện tử chưa thực hiện cung cấp đủ Hồ sơ mở Ví điện tử theo quy định tại Thông tư này.</w:t>
      </w:r>
    </w:p>
    <w:p>
      <w:pPr>
        <w:jc w:val="both"/>
      </w:pPr>
      <w:r>
        <w:t>2. Tổ chức cung ứng dịch vụ Ví điện tử phối hợp với ngân hàng hợp tác rà soát tài khoản đảm bảo thanh toán cho dịch vụ Ví điện tử mở tại ngân hàng hợp tác trước thời điểm Thông tư này có hiệu lực đảm bảo tài khoản đảm bảo thanh toán cho dịch vụ Ví điện tử không được sử dụng chung với tài khoản đảm bảo thanh toán cho dịch vụ hỗ trợ thu hộ, chi hộ (nếu có) và phải tách bạch với tài khoản thanh toán khác tại ngân hàng hợp tác theo quy định tại Thông tư này trong vòng 06 tháng kể từ ngày Thông tư này có hiệu lực thi hành.</w:t>
      </w:r>
    </w:p>
    <w:p>
      <w:pPr>
        <w:jc w:val="both"/>
      </w:pPr>
      <w:r>
        <w:t>3. Tổ chức cung ứng dịch vụ Ví điện tử đã được Ngân hàng Nhà nước cấp Giấy phép bổ sung, hoàn thiện công cụ để Ngân hàng Nhà nước giám sát hoạt động cung ứng dịch vụ Ví điện tử theo quy định tại khoản 7 Điều 9 Thông tư số 39/2014/TT-NHNN (đã được sửa đổi, bổ sung tại khoản 3 Điều 1 Thông tư này) trong vòng 03 tháng kể từ ngày Thông tư này có hiệu lực thi hành.</w:t>
      </w:r>
    </w:p>
    <w:p>
      <w:pPr>
        <w:jc w:val="both"/>
      </w:pPr>
      <w:r>
        <w:rPr>
          <w:b/>
        </w:rPr>
        <w:t>Điều 3. Trách nhiệm tổ chức thực hiện</w:t>
      </w:r>
    </w:p>
    <w:p>
      <w:pPr>
        <w:jc w:val="both"/>
      </w:pPr>
      <w:r>
        <w:t>Chánh Văn phòng, Vụ trưởng Vụ Thanh toán, Thủ trưởng các đơn vị có liên quan thuộc Ngân hàng Nhà nước, Giám đốc Ngân hàng Nhà nước chi nhánh các tỉnh, thành phố trực thuộc Trung ương, Chủ tịch Hội đồng quản trị, Chủ tịch Hội đồng thành viên, Tổng Giám đốc (Giám đốc) các tổ chức cung ứng dịch vụ thanh toán, các tổ chức cung ứng dịch vụ trung gian thanh toán chịu trách nhiệm tổ chức thực hiện Thông tư này.</w:t>
      </w:r>
    </w:p>
    <w:p>
      <w:pPr>
        <w:jc w:val="both"/>
      </w:pPr>
      <w:r>
        <w:rPr>
          <w:b/>
        </w:rPr>
        <w:t>Điều 4. Điều khoản thi hành</w:t>
      </w:r>
    </w:p>
    <w:p>
      <w:pPr>
        <w:jc w:val="both"/>
      </w:pPr>
      <w:r>
        <w:t>1. Thông tư này có hiệu lực thi hành kể từ ngày 07 tháng 01 năm 2020.</w:t>
      </w:r>
    </w:p>
    <w:p>
      <w:pPr>
        <w:jc w:val="both"/>
      </w:pPr>
      <w:r>
        <w:t>2. Bãi bỏ khoản 3 Điều 25 Thông tư số 37/2016/TT-NHNN ngày 30 tháng 12 năm 2016 của Thống đốc Ngân hàng Nhà nước quy định về việc quản lý, vận hành và sử dụng Hệ thống TTĐTLNH.</w:t>
      </w:r>
    </w:p>
    <w:p>
      <w:pPr>
        <w:jc w:val="both"/>
      </w:pPr>
      <w:r>
        <w:t>3. Sửa đổi, bổ sung điểm d khoản 1 Điều 5 Thông tư số 04/2016/TT-NHNN ngày 15 tháng 4 năm 2016 quy định về việc lưu ký và sử dụng giấy tờ có giá tại Ngân hàng Nhà nước Việt Nam như sau:</w:t>
      </w:r>
    </w:p>
    <w:p>
      <w:pPr>
        <w:jc w:val="both"/>
      </w:pPr>
      <w:r>
        <w:t>“d) Ký quỹ giấy tờ có giá để thiết lập hạn mức nợ ròng trong thanh toán điện tử liên ngân hàng, tham gia Hệ thống BTĐT”./.</w:t>
      </w:r>
    </w:p>
    <w:p>
      <w:pPr>
        <w:jc w:val="both"/>
      </w:pPr>
      <w:r>
        <w:t>Nơi nhận:</w:t>
      </w:r>
    </w:p>
    <w:p>
      <w:pPr>
        <w:jc w:val="both"/>
      </w:pPr>
      <w:r>
        <w:t>- Như Điều 3;</w:t>
      </w:r>
    </w:p>
    <w:p>
      <w:pPr>
        <w:jc w:val="both"/>
      </w:pPr>
      <w:r>
        <w:t>- Ban lãnh đạo NHNN;</w:t>
      </w:r>
    </w:p>
    <w:p>
      <w:pPr>
        <w:jc w:val="both"/>
      </w:pPr>
      <w:r>
        <w:t>- Văn phòng Chính phủ;</w:t>
      </w:r>
    </w:p>
    <w:p>
      <w:pPr>
        <w:jc w:val="both"/>
      </w:pPr>
      <w:r>
        <w:t>- Bộ Tư pháp (để ki ể m tra);</w:t>
      </w:r>
    </w:p>
    <w:p>
      <w:pPr>
        <w:jc w:val="both"/>
      </w:pPr>
      <w:r>
        <w:t>- Công báo;</w:t>
      </w:r>
    </w:p>
    <w:p>
      <w:pPr>
        <w:jc w:val="both"/>
      </w:pPr>
      <w:r>
        <w:t>- Lưu: VT, Vụ PC, Vụ TT (5 bản).</w:t>
      </w:r>
    </w:p>
    <w:p>
      <w:pPr>
        <w:jc w:val="both"/>
      </w:pPr>
      <w:r>
        <w:t>KT. THỐNG ĐỐC</w:t>
      </w:r>
    </w:p>
    <w:p>
      <w:pPr>
        <w:jc w:val="both"/>
      </w:pPr>
      <w:r>
        <w:t>PHÓ THỐNG ĐỐC</w:t>
      </w:r>
    </w:p>
    <w:p>
      <w:pPr>
        <w:jc w:val="both"/>
      </w:pPr>
      <w:r>
        <w:t>(Đã ký)</w:t>
      </w:r>
    </w:p>
    <w:p>
      <w:pPr>
        <w:jc w:val="both"/>
      </w:pPr>
      <w:r>
        <w:t>Nguyễn Kim Anh</w:t>
      </w:r>
    </w:p>
    <w:p>
      <w:r>
        <w:rPr>
          <w:i/>
        </w:rPr>
        <w:t>Nguồn: Cơ sở dữ liệu quốc gia về văn bản pháp luật (Bộ Tư pháp). VietSmart Legal, legal.giangpham.asia/van-ban/139072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