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36/2007/QĐ-BNN</w:t>
      </w:r>
    </w:p>
    <w:p>
      <w:pPr>
        <w:jc w:val="both"/>
      </w:pPr>
      <w:r>
        <w:t>Ngày 24 tháng 4 năm 2007</w:t>
      </w:r>
    </w:p>
    <w:p>
      <w:pPr>
        <w:jc w:val="center"/>
      </w:pPr>
      <w:r>
        <w:rPr>
          <w:b/>
        </w:rPr>
        <w:t>QUYẾT ĐỊNH</w:t>
      </w:r>
    </w:p>
    <w:p>
      <w:pPr>
        <w:jc w:val="both"/>
      </w:pPr>
      <w:r>
        <w:t>Về việc ban hành quy định sản xuất, kinh doanh và sử dụng phân bón</w:t>
      </w:r>
    </w:p>
    <w:p>
      <w:pPr>
        <w:jc w:val="both"/>
      </w:pPr>
      <w:r>
        <w:t>________________________</w:t>
      </w:r>
    </w:p>
    <w:p>
      <w:pPr>
        <w:jc w:val="both"/>
      </w:pPr>
      <w:r>
        <w:t>BỘ TRƯỞNG BỘ NÔNG NGHIỆP VÀ PHÁT TRIỂN NÔNG THÔN</w:t>
      </w:r>
    </w:p>
    <w:p>
      <w:pPr>
        <w:jc w:val="both"/>
      </w:pPr>
      <w:r>
        <w:t>Căn cứ Nghị định số 86/2003/NĐ-CP ngày 18 tháng 7 năm 2003 của Chính phủ quy định chức năng, nhiệm vụ, quyền hạn và cơ cấu tổ chức của Bộ Nông nghiệp và Phát triển nông thôn;</w:t>
      </w:r>
    </w:p>
    <w:p>
      <w:pPr>
        <w:jc w:val="both"/>
      </w:pPr>
      <w:r>
        <w:t>Căn cứ Nghị định số 113/2003/NĐ-CP ngày 07 tháng 10 năm 2003 của Chính phủ về quản lý sản xuất, kinh doanh phân bón;</w:t>
      </w:r>
    </w:p>
    <w:p>
      <w:pPr>
        <w:jc w:val="both"/>
      </w:pPr>
      <w:r>
        <w:t>Căn cứ Nghị định số 179/2004/NĐ-CP ngày 21 tháng 10 năm 2004 của Chính phủ Quy định quản lý nhà nước về chất lượng sản phẩm hàng hoá;</w:t>
      </w:r>
    </w:p>
    <w:p>
      <w:pPr>
        <w:jc w:val="both"/>
      </w:pPr>
      <w:r>
        <w:t>Theo đề nghị của Cục trưởng Cục Trồng trọt.</w:t>
      </w:r>
    </w:p>
    <w:p>
      <w:pPr>
        <w:jc w:val="center"/>
      </w:pPr>
      <w:r>
        <w:rPr>
          <w:b/>
        </w:rPr>
        <w:t>QUYẾT ĐỊNH :</w:t>
      </w:r>
    </w:p>
    <w:p>
      <w:pPr>
        <w:jc w:val="both"/>
      </w:pPr>
      <w:r>
        <w:rPr>
          <w:b/>
        </w:rPr>
        <w:t>Điều 1. Ban hành kèm theo Quyết định này Quy định sản xuất, kinh doanh và sử dụng phân bón.</w:t>
      </w:r>
    </w:p>
    <w:p>
      <w:pPr>
        <w:jc w:val="both"/>
      </w:pPr>
      <w:r>
        <w:rPr>
          <w:b/>
        </w:rPr>
        <w:t>Điều 2. Quyết định này có hiệu lực sau mười lăm ngày kể từ ngày đăng Công báo và thay thế Quyết định số 72/2004/QĐ-BNN ngày 08/12/2004 của Bộ trưởng Bộ Nông nghiệp và PTNT quy định sản xuất, kinh doanh và sử dụng phân bón.</w:t>
      </w:r>
    </w:p>
    <w:p>
      <w:pPr>
        <w:jc w:val="both"/>
      </w:pPr>
      <w:r>
        <w:rPr>
          <w:b/>
        </w:rPr>
        <w:t>Điều 3. Chánh Văn phòng Bộ, Cục trưởng Cục Trồng trọt, Vụ trưởng Vụ Khoa học công nghệ, Giám đốc Sở Nông nghiệp và Phát triển nông thôn các tỉnh, thành phố trực thuộc Trung ương, Thủ trưởng các đơn vị, tổ chức và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legal.giangpham.asia/van-ban/13820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