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03/2019/TT-NHNN</w:t>
      </w:r>
    </w:p>
    <w:p>
      <w:pPr>
        <w:jc w:val="both"/>
      </w:pPr>
      <w:r>
        <w:t>Hà Nội, Ngày 29 tháng 3 năm 2019</w:t>
      </w:r>
    </w:p>
    <w:p>
      <w:pPr>
        <w:jc w:val="center"/>
      </w:pPr>
      <w:r>
        <w:rPr>
          <w:b/>
        </w:rPr>
        <w:t>THÔNG TƯ</w:t>
      </w:r>
    </w:p>
    <w:p>
      <w:pPr>
        <w:jc w:val="both"/>
      </w:pPr>
      <w:r>
        <w:t>Sửa đổi, bổ sung một số điều của Thông tư số 32/2013/TT-NHNN</w:t>
      </w:r>
    </w:p>
    <w:p>
      <w:pPr>
        <w:jc w:val="both"/>
      </w:pPr>
      <w:r>
        <w:t>ngày 26 tháng 12 năm 2013 của Thống đốc Ngân hàng Nhà nước Việt Nam</w:t>
      </w:r>
    </w:p>
    <w:p>
      <w:pPr>
        <w:jc w:val="both"/>
      </w:pPr>
      <w:r>
        <w:t>hướng dẫn thực hiện quy định hạn chế sử dụng ngoại hối</w:t>
      </w:r>
    </w:p>
    <w:p>
      <w:pPr>
        <w:jc w:val="both"/>
      </w:pPr>
      <w:r>
        <w:t>trên lãnh thổ Việt Nam</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Pháp lệnh Ngoại hối ngày 13 tháng 12 năm 2005 và Pháp lệnh sửa đổi, bổ sung một số điều của Pháp lệnh Ngoại hối ngày 18 tháng 3 năm 2013;</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sửa đổi, bổ sung một số điều của Thông tư số 32/2013/TT-NHNN ngày 26 tháng 12 năm 2013 của Thống đốc Ngân hàng Nhà nước Việt Nam hướng dẫn thực hiện quy định hạn chế sử dụng ngoại hối trên lãnh thổ Việt Nam.</w:t>
      </w:r>
    </w:p>
    <w:p>
      <w:pPr>
        <w:jc w:val="both"/>
      </w:pPr>
      <w:r>
        <w:rPr>
          <w:b/>
        </w:rPr>
        <w:t>Điều 1. Sửa đổi, bổ sung một số điều của Thông tư số 32/2013/TT-NHNN ngày 26 tháng 12 năm 2013 của Thống đốc Ngân hàng Nhà nước Việt Nam hướng dẫn thực hiện quy định hạn chế sử dụng ngoại hối trên lãnh thổ Việt Nam</w:t>
      </w:r>
    </w:p>
    <w:p>
      <w:pPr>
        <w:jc w:val="both"/>
      </w:pPr>
      <w:r>
        <w:t>Bổ sung điểm c vào khoản 16 Điều 4 như sau:</w:t>
      </w:r>
    </w:p>
    <w:p>
      <w:pPr>
        <w:jc w:val="both"/>
      </w:pPr>
      <w:r>
        <w:t>"c) Nhà đầu tư nước ngoài được đặt cọc, ký quỹ bằng ngoại tệ chuyển khoản khi tham gia đấu giá trong các trường hợp sau:</w:t>
      </w:r>
    </w:p>
    <w:p>
      <w:pPr>
        <w:jc w:val="both"/>
      </w:pPr>
      <w:r>
        <w:t>(i) Mua cổ phần tại doanh nghiệp nhà nước thực hiện cổ phần hóa được Thủ tướng Chính phủ phê duyệt;</w:t>
      </w:r>
    </w:p>
    <w:p>
      <w:pPr>
        <w:jc w:val="both"/>
      </w:pPr>
      <w:r>
        <w:t>(ii) Mua cổ phần, phần vốn góp của nhà nước tại doanh nghiệp nhà nước, doanh nghiệp có vốn nhà nước thực hiện thoái vốn được Thủ tướng Chính phủ phê duyệt;</w:t>
      </w:r>
    </w:p>
    <w:p>
      <w:pPr>
        <w:jc w:val="both"/>
      </w:pPr>
      <w:r>
        <w:t>(iii) Mua cổ phần, phần vốn góp của doanh nghiệp nhà nước đầu tư vào doanh nghiệp khác thực hiện thoái vốn được Thủ tướng Chính phủ phê duyệt.</w:t>
      </w:r>
    </w:p>
    <w:p>
      <w:pPr>
        <w:jc w:val="both"/>
      </w:pPr>
      <w:r>
        <w:t>Trường hợp trúng đấu giá, nhà đầu tư nước ngoài thực hiện chuyển vốn đầu tư theo quy định của pháp luật về quản lý ngoại hối để thanh toán giá trị mua cổ phần, phần vốn góp. Trường hợp đấu giá không thành công, nhà đầu tư nước ngoài được chuyển ra nước ngoài số tiền đặt cọc, ký quỹ bằng ngoại tệ sau khi đã trừ đi các chi phí phát sinh liên quan (nếu có).".</w:t>
      </w:r>
    </w:p>
    <w:p>
      <w:pPr>
        <w:jc w:val="both"/>
      </w:pPr>
      <w:r>
        <w:rPr>
          <w:b/>
        </w:rPr>
        <w:t>Điều 2. Trách nhiệm tổ chức thực hiện</w:t>
      </w:r>
    </w:p>
    <w:p>
      <w:pPr>
        <w:jc w:val="both"/>
      </w:pPr>
      <w:r>
        <w:t>Chánh Văn phòng, Vụ trưởng Vụ Quản lý ngoại hối, Thủ trưởng các đơn vị thuộc Ngân hàng Nhà nước,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chịu trách nhiệm tổ chức thực hiện Thông tư này.</w:t>
      </w:r>
    </w:p>
    <w:p>
      <w:pPr>
        <w:jc w:val="both"/>
      </w:pPr>
      <w:r>
        <w:rPr>
          <w:b/>
        </w:rPr>
        <w:t>Điều 3. Hiệu lực thi hành</w:t>
      </w:r>
    </w:p>
    <w:p>
      <w:pPr>
        <w:jc w:val="both"/>
      </w:pPr>
      <w:r>
        <w:t>Thông tư này có hiệu lực thi hành kể từ ngày 13 tháng 5 năm 2019./.</w:t>
      </w:r>
    </w:p>
    <w:p>
      <w:pPr>
        <w:jc w:val="both"/>
      </w:pPr>
      <w:r>
        <w:t>KT. THỐNG ĐỐC</w:t>
      </w:r>
    </w:p>
    <w:p>
      <w:pPr>
        <w:jc w:val="both"/>
      </w:pPr>
      <w:r>
        <w:t>PHÓ THỐNG ĐỐC</w:t>
      </w:r>
    </w:p>
    <w:p>
      <w:pPr>
        <w:jc w:val="both"/>
      </w:pPr>
      <w:r>
        <w:t>(Đã ký)</w:t>
      </w:r>
    </w:p>
    <w:p>
      <w:pPr>
        <w:jc w:val="both"/>
      </w:pPr>
      <w:r>
        <w:t>Nguyễn Thị Hồng</w:t>
      </w:r>
    </w:p>
    <w:p>
      <w:r>
        <w:rPr>
          <w:i/>
        </w:rPr>
        <w:t>Nguồn: Cơ sở dữ liệu quốc gia về văn bản pháp luật (Bộ Tư pháp). VietSmart Legal, legal.giangpham.asia/van-ban/134662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