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14/2007/QĐ-NHNN</w:t>
      </w:r>
    </w:p>
    <w:p>
      <w:pPr>
        <w:jc w:val="both"/>
      </w:pPr>
      <w:r>
        <w:t>Hà Nội, ngày 09 tháng 04 năm 2007</w:t>
      </w:r>
    </w:p>
    <w:p>
      <w:pPr>
        <w:jc w:val="center"/>
      </w:pPr>
      <w:r>
        <w:rPr>
          <w:b/>
        </w:rPr>
        <w:t>QUYẾT ĐỊNH</w:t>
      </w:r>
    </w:p>
    <w:p>
      <w:pPr>
        <w:jc w:val="both"/>
      </w:pPr>
      <w:r>
        <w:t>Ban hành Quy chế xếp loại Quỹ tín dụng nhân dân</w:t>
      </w:r>
    </w:p>
    <w:p>
      <w:pPr>
        <w:jc w:val="both"/>
      </w:pPr>
      <w:r>
        <w:t>______________</w:t>
      </w:r>
    </w:p>
    <w:p>
      <w:pPr>
        <w:jc w:val="both"/>
      </w:pPr>
      <w:r>
        <w:t>THỐNG ĐỐC NGÂN HÀNG NHÀ NƯỚC</w:t>
      </w:r>
    </w:p>
    <w:p>
      <w:pPr>
        <w:jc w:val="both"/>
      </w:pPr>
      <w:r>
        <w:t>Căn cứ Luật Ngân hàng Nhà nước Việt Nam năm 1997; Luật sửa đổi bổ sung một số điều của Luật Ngân hàng Nhà nước Việt Nam năm 2003;</w:t>
      </w:r>
    </w:p>
    <w:p>
      <w:pPr>
        <w:jc w:val="both"/>
      </w:pPr>
      <w:r>
        <w:t>Căn cứ Luật Các tổ chức tín dụng năm 1997; Luật sửa đổi, bổ sung một số điều của Luật Các tổ chức tín dụng năm 2004;</w:t>
      </w:r>
    </w:p>
    <w:p>
      <w:pPr>
        <w:jc w:val="both"/>
      </w:pPr>
      <w:r>
        <w:t>Căn cứ Nghị định số 52/2003/NĐ-CP ngày 19/5/2003 của Chính phủ quy định chức năng, nhiệm vụ, quyền hạn và cơ cấu tổ chức của Ngân hàng Nhà nước Việt Nam;</w:t>
      </w:r>
    </w:p>
    <w:p>
      <w:pPr>
        <w:jc w:val="both"/>
      </w:pPr>
      <w:r>
        <w:t>Căn cứ Nghị định số 48/2001/NĐ-CP ngày 13/8/2001 của Chính phủ về tổ chức và hoạt động của Quỹ tín dụng nhân dân và Nghị định số 69/2005/NĐ-CP ngày 26/5/2005 của Chính phủ về việc sửa đổi, bổ sung một số điều của Nghị định số 48/2001/NĐ-CP ngày 13/8/2001 của Chính phủ về tổ chức và hoạt động của Quỹ tín dụng nhân dân;</w:t>
      </w:r>
    </w:p>
    <w:p>
      <w:pPr>
        <w:jc w:val="both"/>
      </w:pPr>
      <w:r>
        <w:t>Theo đề nghị của Chánh Thanh tra Ngân hàng Nhà nước.</w:t>
      </w:r>
    </w:p>
    <w:p>
      <w:pPr>
        <w:jc w:val="center"/>
      </w:pPr>
      <w:r>
        <w:rPr>
          <w:b/>
        </w:rPr>
        <w:t>QUYẾT ĐỊNH:</w:t>
      </w:r>
    </w:p>
    <w:p>
      <w:pPr>
        <w:jc w:val="both"/>
      </w:pPr>
      <w:r>
        <w:rPr>
          <w:b/>
        </w:rPr>
        <w:t>Điều 1. Ban hành kèm theo Quyết định này Quy chế xếp loại Quỹ tín dụng nhân dân.</w:t>
      </w:r>
    </w:p>
    <w:p>
      <w:pPr>
        <w:jc w:val="both"/>
      </w:pPr>
      <w:r>
        <w:rPr>
          <w:b/>
        </w:rPr>
        <w:t>Điều 2. Quyết định này có hiệu lực thi hành sau 15 ngày, kể từ ngày đăng Công báo và thay thế các Quyết định:</w:t>
      </w:r>
    </w:p>
    <w:p>
      <w:pPr>
        <w:jc w:val="both"/>
      </w:pPr>
      <w:r>
        <w:t>- Quyết định số 467/2000/QĐ-NHNN3 ngày 07/11/2000 của Thống đốc Ngân hàng Nhà nước ban hành Quy chế xếp loại Quỹ tín dụng nhân dân.</w:t>
      </w:r>
    </w:p>
    <w:p>
      <w:pPr>
        <w:jc w:val="both"/>
      </w:pPr>
      <w:r>
        <w:t>- Quyết định số 1601/2001/QĐ-NHNN ngày 28/12/2001 của Thống đốc Ngân hàng Nhà nước về việc sửa đổi, bổ sung một số điều khoản của Quy chế xếp loại Quỹ tín dụng nhân dân ban hành theo Quyết định số 467/2000/QĐ-NHNN3 ngày 07/11/2000 của Thống đốc Ngân hàng Nhà nước.</w:t>
      </w:r>
    </w:p>
    <w:p>
      <w:pPr>
        <w:jc w:val="both"/>
      </w:pPr>
      <w:r>
        <w:rPr>
          <w:b/>
        </w:rPr>
        <w:t>Điều 3. Chánh Văn phòng, Chánh Thanh tra Ngân hàng Nhà nước, Thủ trưởng các đơn vị có liên quan thuộc Ngân hàng Nhà nước, Giám đốc Ngân hàng Nhà nước chi nhánh tỉnh, thành phố trực thuộc Trung ương, Chủ tịch Hội đồng quản trị, Tổng Giám đốc (Giám đốc) Quỹ tín dụng nhân dân trung ương, Quỹ tín dụng nhân dân cơ sở chịu trách nhiệm thi hành Quyết định này./.</w:t>
      </w:r>
    </w:p>
    <w:p>
      <w:pPr>
        <w:jc w:val="both"/>
      </w:pPr>
      <w:r>
        <w:t>KT. THỐNG ĐỐC</w:t>
      </w:r>
    </w:p>
    <w:p>
      <w:pPr>
        <w:jc w:val="both"/>
      </w:pPr>
      <w:r>
        <w:t>PHÓ THỐNG ĐỐC</w:t>
      </w:r>
    </w:p>
    <w:p>
      <w:pPr>
        <w:jc w:val="both"/>
      </w:pPr>
      <w:r>
        <w:t>(Đã ký)</w:t>
      </w:r>
    </w:p>
    <w:p>
      <w:pPr>
        <w:jc w:val="both"/>
      </w:pPr>
      <w:r>
        <w:t>Trần Minh Tuấn</w:t>
      </w:r>
    </w:p>
    <w:p>
      <w:r>
        <w:rPr>
          <w:i/>
        </w:rPr>
        <w:t>Nguồn: Cơ sở dữ liệu quốc gia về văn bản pháp luật (Bộ Tư pháp). VietSmart Legal, legal.giangpham.asia/van-ban/13426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