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44/2018/TT-NHNN</w:t>
      </w:r>
    </w:p>
    <w:p>
      <w:pPr>
        <w:jc w:val="both"/>
      </w:pPr>
      <w:r>
        <w:t>Hà Nội, ngày 28 tháng 12 năm 2018</w:t>
      </w:r>
    </w:p>
    <w:p>
      <w:pPr>
        <w:jc w:val="center"/>
      </w:pPr>
      <w:r>
        <w:rPr>
          <w:b/>
        </w:rPr>
        <w:t>THÔNG TƯ</w:t>
      </w:r>
    </w:p>
    <w:p>
      <w:pPr>
        <w:jc w:val="both"/>
      </w:pPr>
      <w:r>
        <w:t>Sửa đổi, bổ sung một số điều của Thông tư số 36/2012/TT-NHNN ngày 28 tháng 12 năm 2012 của Thống đốc Ngân hàng Nhà nước Việt Nam quy định về trang bị, quản lý, vận hành và đảm bảo an toàn hoạt động của máy giao dịch tự động</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Nghị định số 101/2012/NĐ-CP ngày 22 tháng 11 năm 2012 của Chính phủ về thanh toán không dùng tiền mặt; Nghị định số 80/2016/NĐ-CP ngày 01 tháng 7 năm 2016 sửa đổi, bổ sung một số điều của Nghị định 101/2012/NĐ-CP ngày 22 tháng 11 năm 2012 của Chính phủ về thanh toán không dùng tiền mặt ;</w:t>
      </w:r>
    </w:p>
    <w:p>
      <w:pPr>
        <w:jc w:val="both"/>
      </w:pPr>
      <w:r>
        <w:t>Căn cứ Nghị định số 16/2017/NĐ-CP ngày 17 tháng 02 năm 2017 của Chính phủ quy định về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36/2012/TT-NHNN ngày 28 tháng 12 năm 2012 của Thống đốc Ngân hàng Nhà nước Việt Nam quy định về trang bị, quản lý, vận hành và đảm bảo an toàn hoạt động của máy giao dịch tự động.</w:t>
      </w:r>
    </w:p>
    <w:p>
      <w:pPr>
        <w:jc w:val="both"/>
      </w:pPr>
      <w:r>
        <w:rPr>
          <w:b/>
        </w:rPr>
        <w:t>Điều 1. Sửa đổi, bổ sung một số điều của Thông tư số 36/2012/TT-NHNN ngày 28 tháng 12 năm 2012 của Thống đốc Ngân hàng Nhà nước Việt Nam quy định về trang bị, quản lý, vận hành và đảm bảo an toàn hoạt động của máy giao dịch tự động (gọi tắt là Thông tư số 36/2012/TT-NHNN )</w:t>
      </w:r>
    </w:p>
    <w:p>
      <w:pPr>
        <w:jc w:val="both"/>
      </w:pPr>
      <w:r>
        <w:t>1. Khoản 2 Điều 4 được sửa đổi, bổ sung như sau:</w:t>
      </w:r>
    </w:p>
    <w:p>
      <w:pPr>
        <w:jc w:val="both"/>
      </w:pPr>
      <w:r>
        <w:t>"2. Trong thời hạn 10 ngày làm việc trước ngày triển khai, lắp đặt, thay đổi địa điểm, thay đổi thời gian, chấm dứt hoạt động ATM, tổ chức cung ứng dịch vụ thanh toán phải thông báo cho Ngân hàng Nhà nước chi nhánh tỉnh, thành phố trực thuộc Trung ương (sau đây gọi là chi nhánh Ngân hàng Nhà nước) trên địa bàn nơi triển khai, lắp đặt ATM theo Mẫu số 1 (đối với ATM) hoặc theo Mẫu số 2 (đối với ATM lưu động) ban hành kèm theo Thông tư này.</w:t>
      </w:r>
    </w:p>
    <w:p>
      <w:pPr>
        <w:jc w:val="both"/>
      </w:pPr>
      <w:r>
        <w:t>Trong thời hạn 10 ngày làm việc trước ngày triển khai, lắp đặt, thay đổi địa điểm, thay đổi thời gian, chấm dứt hoạt động ATM khác địa bàn tỉnh, thành phố nơi đặt trụ sở hoặc chi nhánh của tổ chức cung ứng dịch vụ thanh toán trực tiếp quản lý ATM, tổ chức cung ứng dịch vụ thanh toán phải thông báo cho chi nhánh Ngân hàng Nhà nước trên địa bàn nơi triển khai, lắp đặt ATM và chi nhánh Ngân hàng Nhà nước trên địa bàn nơi đặt trụ sở hoặc chi nhánh trực tiếp quản lý ATM theo Mẫu số 1 (đối với ATM) hoặc theo Mẫu số 2 (đối với ATM lưu động) ban hành kèm theo Thông tư này."</w:t>
      </w:r>
    </w:p>
    <w:p>
      <w:pPr>
        <w:jc w:val="both"/>
      </w:pPr>
      <w:r>
        <w:t>2. Khoản 2 Điều 5 được sửa đổi, bổ sung như sau:</w:t>
      </w:r>
    </w:p>
    <w:p>
      <w:pPr>
        <w:jc w:val="both"/>
      </w:pPr>
      <w:r>
        <w:t>"2. Bố trí lực lượng trực để kịp thời phát hiện, khắc phục sự cố ATM ngừng hoạt động. Trường hợp ATM ngừng (hoặc dự kiến ngừng) hoạt động quá 24 giờ, tổ chức cung ứng dịch vụ thanh toán phải báo cáo theo quy định của Ngân hàng Nhà nước Việt Nam về chế độ báo cáo thống kê áp dụng đối với tổ chức tín dụng, chi nhánh ngân hàng nước ngoài và thông báo rộng rãi cho khách hàng trong ngày làm việc tiếp theo kể từ khi phát sinh ATM ngừng (hoặc dự kiến ngừng) hoạt động quá 24 giờ."</w:t>
      </w:r>
    </w:p>
    <w:p>
      <w:pPr>
        <w:jc w:val="both"/>
      </w:pPr>
      <w:r>
        <w:t>3. Khoản 1 và khoản 7 Điều 7 được sửa đổi, bổ sung như sau:</w:t>
      </w:r>
    </w:p>
    <w:p>
      <w:pPr>
        <w:jc w:val="both"/>
      </w:pPr>
      <w:r>
        <w:t>"1. Tuân thủ các quy định hiện hành về an toàn hệ thống thông tin trong hoạt động ngân hàng."</w:t>
      </w:r>
    </w:p>
    <w:p>
      <w:pPr>
        <w:jc w:val="both"/>
      </w:pPr>
      <w:r>
        <w:t>"7. Cung cấp thông tin, phối hợp với cơ quan công an, chi nhánh Ngân hàng Nhà nước trên địa bàn nơi triển khai, lắp đặt ATM và các tổ chức liên quan trong việc đảm bảo ATM hoạt động an toàn, thông suốt; phòng, chống tội phạm liên quan đến hoạt động ATM và điều tra, xử lý khi phát hiện tội phạm công nghệ cao, trộm cắp, cướp, phá hoại ATM. Thường xuyên cập nhật, thông báo các thủ đoạn trộm cắp tiền từ ATM và hướng dẫn khách hàng biện pháp giao dịch an toàn tại ATM như niêm yết tại nơi đặt ATM, trên màn hình ATM hoặc các hình thức khác."</w:t>
      </w:r>
    </w:p>
    <w:p>
      <w:pPr>
        <w:jc w:val="both"/>
      </w:pPr>
      <w:r>
        <w:t>4. Khoản 1 Điều 10 được sửa đổi, bổ sung như sau:</w:t>
      </w:r>
    </w:p>
    <w:p>
      <w:pPr>
        <w:jc w:val="both"/>
      </w:pPr>
      <w:r>
        <w:t>"1. Tổ chức cung ứng dịch vụ thanh toán, chi nhánh Ngân hàng Nhà nước trên địa bàn nơi triển khai, lắp đặt ATM có trách nhiệm báo cáo Ngân hàng Nhà nước Việt Nam (qua Vụ Thanh toán) như sau:</w:t>
      </w:r>
    </w:p>
    <w:p>
      <w:pPr>
        <w:jc w:val="both"/>
      </w:pPr>
      <w:r>
        <w:t>a) Báo cáo theo quy định của Ngân hàng Nhà nước Việt Nam về chế độ báo cáo thống kê áp dụng đối với tổ chức tín dụng và chi nhánh ngân hàng nước ngoài và khi có yêu cầu của cơ quan có thẩm quyền theo quy định của pháp luật;</w:t>
      </w:r>
    </w:p>
    <w:p>
      <w:pPr>
        <w:jc w:val="both"/>
      </w:pPr>
      <w:r>
        <w:t>b) Báo cáo tình hình hoạt động ATM định kỳ 6 tháng đầu năm (kỳ báo cáo tính từ ngày 01 tháng 01 đến ngày 30 tháng 6) và hằng năm (kỳ báo cáo tính từ ngày 01 tháng 01 đến ngày 31 tháng 12) trước ngày 15 của tháng liền kề kỳ báo cáo theo nội dung hướng dẫn tại Mẫu số 4 (đối với tổ chức cung ứng dịch vụ thanh toán) và Mẫu số 5 (đối với chi nhánh Ngân hàng Nhà nước) ban hành kèm theo Thông tư này."</w:t>
      </w:r>
    </w:p>
    <w:p>
      <w:pPr>
        <w:jc w:val="both"/>
      </w:pPr>
      <w:r>
        <w:t>5. Khoản 1 và khoản 3 Điều 11 được sửa đổi, bổ sung như sau:</w:t>
      </w:r>
    </w:p>
    <w:p>
      <w:pPr>
        <w:jc w:val="both"/>
      </w:pPr>
      <w:r>
        <w:t>"1. Vụ Thanh toán có trách nhiệm tiếp nhận, tổng hợp và báo cáo Thống đốc Ngân hàng Nhà nước Việt Nam về tình hình hoạt động ATM theo quy định tại Thông tư này."</w:t>
      </w:r>
    </w:p>
    <w:p>
      <w:pPr>
        <w:jc w:val="both"/>
      </w:pPr>
      <w:r>
        <w:t>"3. Chi nhánh Ngân hàng Nhà nước trên địa bàn nơi triển khai, lắp đặt ATM có trách nhiệm:</w:t>
      </w:r>
    </w:p>
    <w:p>
      <w:pPr>
        <w:jc w:val="both"/>
      </w:pPr>
      <w:r>
        <w:t>a) Kiểm tra, xử lý vi phạm theo thẩm quyền đối với hoạt động ATM trên địa bàn: Định kỳ hoặc đột xuất lựa chọn kiểm tra một số ATM trên địa bàn, lập biên bản kiểm tra ATM theo nội dung hướng dẫn tại Mẫu số 3 ban hành kèm theo Thông tư này;</w:t>
      </w:r>
    </w:p>
    <w:p>
      <w:pPr>
        <w:jc w:val="both"/>
      </w:pPr>
      <w:r>
        <w:t>b) Phối hợp, trao đổi thông tin với chi nhánh Ngân hàng Nhà nước trên địa bàn nơi đặt trụ sở hoặc chi nhánh của tổ chức cung ứng dịch vụ thanh toán trực tiếp quản lý ATM về việc kiểm tra, xử lý vi phạm đối với các ATM triển khai, lắp đặt khác địa bàn tỉnh, thành phố nơi đặt trụ sở hoặc chi nhánh của tổ chức cung ứng dịch vụ thanh toán trực tiếp quản lý ATM;</w:t>
      </w:r>
    </w:p>
    <w:p>
      <w:pPr>
        <w:jc w:val="both"/>
      </w:pPr>
      <w:r>
        <w:t>c) Phản ánh kịp thời các vấn đề khó khăn, vướng mắc, sự cố phát sinh về Ngân hàng Nhà nước Việt Nam (qua Vụ Thanh toán) để phối hợp xử lý."</w:t>
      </w:r>
    </w:p>
    <w:p>
      <w:pPr>
        <w:jc w:val="both"/>
      </w:pPr>
      <w:r>
        <w:rPr>
          <w:b/>
        </w:rPr>
        <w:t>Điều 2. Tổ chức thực hiện</w:t>
      </w:r>
    </w:p>
    <w:p>
      <w:pPr>
        <w:jc w:val="both"/>
      </w:pPr>
      <w:r>
        <w:t>Chánh Văn phòng, Vụ trưởng Vụ Thanh toán, Thủ trưởng các đơn vị có liên quan thuộc Ngân hàng Nhà nước Việt Nam, Giám đốc Ngân hàng Nhà nước chi nhánh các tỉnh, thành phố trực thuộc Trung ương và Tổng Giám đốc (Giám đốc) các tổ chức cung ứng dịch vụ thanh toán chịu trách nhiệm tổ chức thực hiện Thông tư này.</w:t>
      </w:r>
    </w:p>
    <w:p>
      <w:pPr>
        <w:jc w:val="both"/>
      </w:pPr>
      <w:r>
        <w:rPr>
          <w:b/>
        </w:rPr>
        <w:t>Điều 3. Hiệu lực thi hành</w:t>
      </w:r>
    </w:p>
    <w:p>
      <w:pPr>
        <w:jc w:val="both"/>
      </w:pPr>
      <w:r>
        <w:t>1. Thông tư này có hiệu lực thi hành kể từ ngày 18 tháng 02 năm 2019.</w:t>
      </w:r>
    </w:p>
    <w:p>
      <w:pPr>
        <w:jc w:val="both"/>
      </w:pPr>
      <w:r>
        <w:t>2. Thông tư này bãi bỏ khoản 7 Điều 9, điểm d khoản 3 Điều 11 Thông tư số 36/2012/TT-NHNN đã được sửa đổi, bổ sung tại khoản 6, khoản 7 Điều 1 Thông tư số 20/2016/TT-NHNN ngày 30 tháng 6 năm 2016 của Thống đốc Ngân hàng Nhà nước Việt Nam sửa đổi, bổ sung một số điều của Thông tư số 36/2012/TT-NHNN ngày 28/12/2012 quy định về trang bị, quản lý, vận hành và đảm bảo an toàn hoạt động của máy giao dịch tự động và Thông tư số 39/2014/TT-NHNN ngày 11/12/2014 hướng dẫn về dịch vụ trung gian thanh toán (gọi tắt là Thông tư số 20/2016/TT-NHNN).</w:t>
      </w:r>
    </w:p>
    <w:p>
      <w:pPr>
        <w:jc w:val="both"/>
      </w:pPr>
      <w:r>
        <w:t>3. Thay thế Mẫu số 1, 2, 3, 4 và 5 ban hành kèm theo Thông tư số 20/2016/TT-NHNN bằng Mẫu số 1, 2, 3, 4 và 5 ban hành kèm theo Thông tư này./.</w:t>
      </w:r>
    </w:p>
    <w:p>
      <w:pPr>
        <w:jc w:val="both"/>
      </w:pPr>
      <w:r>
        <w:t>KT. THỐNG ĐỐC</w:t>
      </w:r>
    </w:p>
    <w:p>
      <w:pPr>
        <w:jc w:val="both"/>
      </w:pPr>
      <w:r>
        <w:t>PHÓ THỐNG ĐỐC</w:t>
      </w:r>
    </w:p>
    <w:p>
      <w:pPr>
        <w:jc w:val="both"/>
      </w:pPr>
      <w:r>
        <w:t>(Đã ký)</w:t>
      </w:r>
    </w:p>
    <w:p>
      <w:pPr>
        <w:jc w:val="both"/>
      </w:pPr>
      <w:r>
        <w:t>Nguyễn Kim Anh</w:t>
      </w:r>
    </w:p>
    <w:p>
      <w:r>
        <w:rPr>
          <w:i/>
        </w:rPr>
        <w:t>Nguồn: Cơ sở dữ liệu quốc gia về văn bản pháp luật (Bộ Tư pháp). VietSmart Legal, legal.giangpham.asia/van-ban/132899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