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13/2018/TT-BKHCN</w:t>
      </w:r>
    </w:p>
    <w:p>
      <w:pPr>
        <w:jc w:val="both"/>
      </w:pPr>
      <w:r>
        <w:t>Hà Nội, ngày 05 tháng 9 năm 2018</w:t>
      </w:r>
    </w:p>
    <w:p>
      <w:pPr>
        <w:jc w:val="center"/>
      </w:pPr>
      <w:r>
        <w:rPr>
          <w:b/>
        </w:rPr>
        <w:t>THÔNG TƯ</w:t>
      </w:r>
    </w:p>
    <w:p>
      <w:pPr>
        <w:jc w:val="both"/>
      </w:pPr>
      <w:r>
        <w:t>Sửa đổi, bổ sung một số điều của Thông tư liên tịch</w:t>
      </w:r>
    </w:p>
    <w:p>
      <w:pPr>
        <w:jc w:val="both"/>
      </w:pPr>
      <w:r>
        <w:t>số 13/2014/TTLT-BKHCN-BYT ngày 09 tháng 6 năm 2014</w:t>
      </w:r>
    </w:p>
    <w:p>
      <w:pPr>
        <w:jc w:val="both"/>
      </w:pPr>
      <w:r>
        <w:t>của Bộ trưởng Bộ Khoa học và Công nghệ và Bộ trưởng Bộ Y tế</w:t>
      </w:r>
    </w:p>
    <w:p>
      <w:pPr>
        <w:jc w:val="both"/>
      </w:pPr>
      <w:r>
        <w:t>quy định về bảo đảm an toàn bức xạ trong y tế</w:t>
      </w:r>
    </w:p>
    <w:p>
      <w:pPr>
        <w:jc w:val="both"/>
      </w:pPr>
      <w:r>
        <w:t>________________________</w:t>
      </w:r>
    </w:p>
    <w:p>
      <w:pPr>
        <w:jc w:val="both"/>
      </w:pPr>
      <w:r>
        <w:t>Căn cứ Luật năng lượng nguyên tử ngày 03 tháng 6 năm 2008;</w:t>
      </w:r>
    </w:p>
    <w:p>
      <w:pPr>
        <w:jc w:val="both"/>
      </w:pPr>
      <w:r>
        <w:t>Căn cứ Nghị định số 07/2010/NĐ-CP ngày 25 tháng 01 năm 2010 của Chính phủ quy định chi tiết và hướng dẫn thi hành một số điều của Luật năng lượng nguyên tử;</w:t>
      </w:r>
    </w:p>
    <w:p>
      <w:pPr>
        <w:jc w:val="both"/>
      </w:pPr>
      <w:r>
        <w:t>Căn cứ Nghị định số 95/2017/NĐ-CP ngày 16 tháng 8 năm 2017 của Chính phủ quy định chức năng, nhiệm vụ, quyền hạn và cơ cấu tổ chức của Bộ Khoa học và Công nghệ;</w:t>
      </w:r>
    </w:p>
    <w:p>
      <w:pPr>
        <w:jc w:val="both"/>
      </w:pPr>
      <w:r>
        <w:t>Theo đề nghị của Cục trưởng Cục An toàn bức xạ và hạt nhân và Vụ trưởng Vụ Pháp chế,</w:t>
      </w:r>
    </w:p>
    <w:p>
      <w:pPr>
        <w:jc w:val="both"/>
      </w:pPr>
      <w:r>
        <w:t>Bộ trưởng Bộ Khoa học và Công nghệ ban hành Thông tư sửa đổi, bổ sung một số điều của Thông tư liên tịch số 13/2014/TTLT-BKHCN-BYT ngày 09 tháng 6 năm 2014 của Bộ trưởng Bộ Khoa học và Công nghệ và Bộ trưởng Bộ Y tế quy định về đảm bảo bức xạ trong y tế.</w:t>
      </w:r>
    </w:p>
    <w:p>
      <w:pPr>
        <w:jc w:val="both"/>
      </w:pPr>
      <w:r>
        <w:rPr>
          <w:b/>
        </w:rPr>
        <w:t>Điều 1. Sửa đổi, bổ sung một số điều của Thông tư liên tịch số 13/2014/TTLT-BKHCN-BYT ngày 09 tháng 6 năm 2014 của Bộ trưởng Bộ Khoa học và Công nghệ và Bộ trưởng Bộ Y tế quy định về bảo đảm an toàn bức xạ trong y tế</w:t>
      </w:r>
    </w:p>
    <w:p>
      <w:pPr>
        <w:jc w:val="both"/>
      </w:pPr>
      <w:r>
        <w:t>1. Sửa đổi, bổ sung Khoản 1 Điều 1 như sau:</w:t>
      </w:r>
    </w:p>
    <w:p>
      <w:pPr>
        <w:jc w:val="both"/>
      </w:pPr>
      <w:r>
        <w:t>"1. Thông tư liên tịch này quy định các yêu cầu bảo đảm an toàn bức xạ đối với thiết bị bức xạ, nguồn phóng xạ, thuốc phóng xạ sử dụng trong y tế và thiết bị sử dụng trong y học hạt nhân; yêu cầu đối với phòng đặt thiết bị bức xạ, phòng làm việc với nguồn phóng xạ và thuốc phóng xạ, phòng lưu người bệnh điều trị bằng phóng xạ (tiêm, truyền, uống thuốc phóng xạ hoặc cấy nguồn phóng xạ) và kho lưu giữ nguồn phóng xạ hoặc chất thải phóng xạ; yêu cầu đối với việc lắp đặt, vận hành thiết bị bức xạ; yêu cầu kiểm soát chiếu xạ nghề nghiệp, chiếu xạ công chúng và chiếu xạ y tế; yêu cầu về ứng phó sự cố bức xạ và trách nhiệm của tổ chức, cá nhân liên quan trong bảo đảm an toàn bức xạ trong y tế."</w:t>
      </w:r>
    </w:p>
    <w:p>
      <w:pPr>
        <w:jc w:val="both"/>
      </w:pPr>
      <w:r>
        <w:t>2. Sửa đổi, bổ sung Khoản 4 Điều 2 như sau:</w:t>
      </w:r>
    </w:p>
    <w:p>
      <w:pPr>
        <w:jc w:val="both"/>
      </w:pPr>
      <w:r>
        <w:t>"4. Nhân viên bức xạ y tế là các bác sĩ, điều dưỡng viên, y sỹ, y tá, hộ lý, dược sĩ, dược tá, kỹ sư, kỹ thuật viên, hộ sinh tại các cơ sở y tế làm việc trực tiếp với các thiết bị bức xạ hoặc các nguồn phóng xạ kín, nguồn phóng xạ hở hoặc chăm sóc người bệnh được điều trị bằng các đồng vị phóng xạ hoặc phải làm việc trong khu vực có chiếu xạ tiềm tàng với mức liều lớn hơn 1 mSv/năm hoặc trong khu vực có nguy cơ bị nhiễm bẩn phóng xạ."</w:t>
      </w:r>
    </w:p>
    <w:p>
      <w:pPr>
        <w:jc w:val="both"/>
      </w:pPr>
      <w:r>
        <w:t>3. Sửa đổi, bổ sung Khoản 6 Điều 2 như sau:</w:t>
      </w:r>
    </w:p>
    <w:p>
      <w:pPr>
        <w:jc w:val="both"/>
      </w:pPr>
      <w:r>
        <w:t>"6. Thiết bị X-quang chẩn đoán trong y tế là các thiết bị phát tia X được sử dụng để chiếu, chụp chẩn đoán bệnh, bao gồm: Thiết bị X-quang chụp răng (chụp răng toàn cảnh, chụp sọ, chụp răng sử dụng phim đặt sau huyệt ổ răng, chụp cắt lớp vi tính sử dụng chùm tia hình nón); thiết bị X-quang chụp vú; thiết bị X-quang di động; thiết bị X-quang đo mật độ xương; thiết bị chiếu, chụp X-quang tổng hợp; thiết bị X-quang tăng sáng truyền hình; thiết bị chụp cắt lớp vi tính; thiết bị X-quang thú y."</w:t>
      </w:r>
    </w:p>
    <w:p>
      <w:pPr>
        <w:jc w:val="both"/>
      </w:pPr>
      <w:r>
        <w:t>4. Sửa đổi, bổ sung Khoản 7 Điều 2 như sau:</w:t>
      </w:r>
    </w:p>
    <w:p>
      <w:pPr>
        <w:jc w:val="both"/>
      </w:pPr>
      <w:r>
        <w:t>"7. Thiết bị xạ trị là các thiết bị phát bức xạ ion hóa được sử dụng trong y tế để điều trị bệnh, ví dụ như thiết bị X-quang xạ trị, máy gia tốc tuyến tính, thiết bị xạ trị từ xa dùng nguồn phóng xạ, thiết bị xạ trị áp sát, thiết bị Gamma Knife, thiết bị Cyber Knife, thiết bị X Knife, thiết bị Tomotherapy, thiết bị xạ trị Proton và các thiết bị khác."</w:t>
      </w:r>
    </w:p>
    <w:p>
      <w:pPr>
        <w:jc w:val="both"/>
      </w:pPr>
      <w:r>
        <w:t>5. Sửa đổi, bổ sung Khoản 8 Điều 2 như sau:</w:t>
      </w:r>
    </w:p>
    <w:p>
      <w:pPr>
        <w:jc w:val="both"/>
      </w:pPr>
      <w:r>
        <w:t>"8. Thiết bị sử dụng trong y học hạt nhân là thiết bị hoặc hệ thiết bị được sử dụng trong chuyên ngành y học hạt nhân để chụp ảnh từ bên trong cơ thể nhờ bức xạ phát ra từ thuốc phóng xạ mà người bệnh được tiêm, truyền, uống hoặc để ghi đo hoạt độ phóng xạ, ví dụ như thiết bị Rectilinear Scanner, Gamma Camera, SPECT, SPECT/CT, PET, PET/CT, PET/MRI, máy đo chuẩn liều thuốc phóng xạ, máy xạ ký, máy đo độ tập trung phóng xạ và các thiết bị khác."</w:t>
      </w:r>
    </w:p>
    <w:p>
      <w:pPr>
        <w:jc w:val="both"/>
      </w:pPr>
      <w:r>
        <w:t>6. Bổ sung Khoản 9 trong Điều 2 như sau:</w:t>
      </w:r>
    </w:p>
    <w:p>
      <w:pPr>
        <w:jc w:val="both"/>
      </w:pPr>
      <w:r>
        <w:t>"9. Mức điều tra là giá trị liều hiệu dụng hoặc suất liều bức xạ tại các vị trí làm việc của nhân viên bức xạ y tế, xung quanh các phòng đặt thiết bị bức xạ, nơi lưu giữ nguồn phóng xạ, chất thải phóng xạ; mức liều nhiễm hoặc mức nhiễm bẩn phóng xạ trên một đơn vị diện tích hoặc thể tích tại các khu vực có nguy cơ bị nhiễm bẩn phóng xạ trong cơ sở y học hạt nhân. Các giá trị này được thiết lập dựa trên số liệu đánh giá thực tế của cơ sở hoặc kinh nghiệm tốt từ cơ sở khác có công việc bức xạ tương tự và khi bị vượt quá trong quá trình hoạt động phải tiến hành điều tra xác định nguyên nhân và có biện pháp khắc phục."</w:t>
      </w:r>
    </w:p>
    <w:p>
      <w:pPr>
        <w:jc w:val="both"/>
      </w:pPr>
      <w:r>
        <w:t>7. Sửa đổi, bổ sung Điểm c Khoản 3 Điều 10 như sau:</w:t>
      </w:r>
    </w:p>
    <w:p>
      <w:pPr>
        <w:jc w:val="both"/>
      </w:pPr>
      <w:r>
        <w:t>"c) Trong phòng điều khiển hoặc nơi đặt tủ điều khiển của thiết bị X-quang chẩn đoán trong y tế (trừ đối với thiết bị X-quang di động, thiết bị X-quang tăng sáng truyền hình chụp can thiệp/chụp mạch) không vượt quá 10 µSv/h;"</w:t>
      </w:r>
    </w:p>
    <w:p>
      <w:pPr>
        <w:jc w:val="both"/>
      </w:pPr>
      <w:r>
        <w:t>8. Sửa đổi, bổ sung Khoản 2 Điều 13 như sau:</w:t>
      </w:r>
    </w:p>
    <w:p>
      <w:pPr>
        <w:jc w:val="both"/>
      </w:pPr>
      <w:r>
        <w:t>"2. Cơ sở y tế không được sử dụng người dưới 18 tuổi để vận hành các thiết bị bức xạ, làm việc với các nguồn phóng xạ, chăm sóc người bệnh được điều trị bằng các đồng vị phóng xạ hoặc phải làm việc trong khu vực tiềm ẩn nguy cơ bị chiếu xạ với mức liều lớn hơn 1 mSv/năm hoặc trong khu vực có nguy cơ bị nhiễm bẩn phóng xạ."</w:t>
      </w:r>
    </w:p>
    <w:p>
      <w:pPr>
        <w:jc w:val="both"/>
      </w:pPr>
      <w:r>
        <w:t>9. Sửa đổi, bổ sung Khoản 3 Điều 21 như sau:</w:t>
      </w:r>
    </w:p>
    <w:p>
      <w:pPr>
        <w:jc w:val="both"/>
      </w:pPr>
      <w:r>
        <w:t>"3. Chỉ cho phép người bệnh điều trị thuốc phóng xạ I-131 được xuất viện về nhà khi mức hoạt độ phóng xạ được đánh giá còn trong người bệnh không vượt quá 1100 MBq. Khi cho người bệnh điều trị I-131 xuất viện, bác sĩ điều trị phải trực tiếp tư vấn và cung cấp văn bản hướng dẫn cho người bệnh về các yêu cầu bảo đảm an toàn bức xạ cho người thân, đồng nghiệp và cộng đồng."</w:t>
      </w:r>
    </w:p>
    <w:p>
      <w:pPr>
        <w:jc w:val="both"/>
      </w:pPr>
      <w:r>
        <w:t>10. Sửa đổi, bổ sung Điểm d Khoản 3 Điều 25 như sau:</w:t>
      </w:r>
    </w:p>
    <w:p>
      <w:pPr>
        <w:jc w:val="both"/>
      </w:pPr>
      <w:r>
        <w:t>"d. Tạo điều kiện cho đoàn thanh tra, đoàn kiểm tra, thanh tra viên thi hành nhiệm vụ thanh tra, kiểm tra chuyên ngành về an toàn bức xạ và hạt nhân; cung cấp đầy đủ thông tin cần thiết khi được yêu cầu;"</w:t>
      </w:r>
    </w:p>
    <w:p>
      <w:pPr>
        <w:jc w:val="both"/>
      </w:pPr>
      <w:r>
        <w:t>11. Sửa đổi, bổ sung Điểm c Khoản 1 Điều 29 như sau:</w:t>
      </w:r>
    </w:p>
    <w:p>
      <w:pPr>
        <w:jc w:val="both"/>
      </w:pPr>
      <w:r>
        <w:t>"c. Thanh tra, xử lý vi phạm; chủ trì, phối hợp với các đơn vị chức năng của Bộ Y tế kiểm tra việc tuân thủ các quy định pháp luật về bảo đảm an toàn bức xạ trong y tế;"</w:t>
      </w:r>
    </w:p>
    <w:p>
      <w:pPr>
        <w:jc w:val="both"/>
      </w:pPr>
      <w:r>
        <w:t>12. Sửa đổi, bổ sung Điểm c Khoản 2 Điều 29 như sau:</w:t>
      </w:r>
    </w:p>
    <w:p>
      <w:pPr>
        <w:jc w:val="both"/>
      </w:pPr>
      <w:r>
        <w:t>"c. Thanh tra, xử lý vi phạm; chủ trì, phối hợp với Sở Y tế kiểm tra việc tuân thủ các quy định pháp luật về bảo đảm an toàn bức xạ trong y tế đối với các cơ sở y tế hoạt động trên địa bàn quản lý;"</w:t>
      </w:r>
    </w:p>
    <w:p>
      <w:pPr>
        <w:jc w:val="both"/>
      </w:pPr>
      <w:r>
        <w:t>13. Thay thế Phụ lục III ban hành kèm theo Thông tư liên tịch số 13/2014/TTLT-BKHCN-BYT ngày 09 tháng 6 năm 2014 của Bộ trưởng Bộ Khoa học và Công nghệ và Bộ trưởng Bộ Y tế quy định về bảo đảm an toàn bức xạ trong y tế bằng Phụ lục ban hành kèm theo Thông tư này.</w:t>
      </w:r>
    </w:p>
    <w:p>
      <w:pPr>
        <w:jc w:val="both"/>
      </w:pPr>
      <w:r>
        <w:rPr>
          <w:b/>
        </w:rPr>
        <w:t>Điều 2. Điều khoản thi hành</w:t>
      </w:r>
    </w:p>
    <w:p>
      <w:pPr>
        <w:jc w:val="both"/>
      </w:pPr>
      <w:r>
        <w:t>1. Thông tư này có hiệu lực thi hành kể từ ngày 01 tháng 11 năm 2018.</w:t>
      </w:r>
    </w:p>
    <w:p>
      <w:pPr>
        <w:jc w:val="both"/>
      </w:pPr>
      <w:r>
        <w:t>2. Trong quá trình thực hiện nếu có vướng mắc, đề nghị các cơ quan, tổ chức, cá nhân kịp thời phản ánh về Bộ Khoa học và Công nghệ để xem xét giải quyết./.</w:t>
      </w:r>
    </w:p>
    <w:p>
      <w:pPr>
        <w:jc w:val="both"/>
      </w:pPr>
      <w:r>
        <w:t>KT. BỘ TRƯỞNG</w:t>
      </w:r>
    </w:p>
    <w:p>
      <w:pPr>
        <w:jc w:val="both"/>
      </w:pPr>
      <w:r>
        <w:t>THỨ TRƯỞNG</w:t>
      </w:r>
    </w:p>
    <w:p>
      <w:pPr>
        <w:jc w:val="both"/>
      </w:pPr>
      <w:r>
        <w:t>(Đã ký)</w:t>
      </w:r>
    </w:p>
    <w:p>
      <w:pPr>
        <w:jc w:val="both"/>
      </w:pPr>
      <w:r>
        <w:t>Phạm Công Tạc</w:t>
      </w:r>
    </w:p>
    <w:p>
      <w:r>
        <w:rPr>
          <w:i/>
        </w:rPr>
        <w:t>Nguồn: Cơ sở dữ liệu quốc gia về văn bản pháp luật (Bộ Tư pháp). VietSmart Legal, legal.giangpham.asia/van-ban/131125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