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MỘT SỐ ĐIỀU CỦA THÔNG TƯ SỐ 37/2016/TT-BLĐTBXH NGÀY 25 THÁNG 10 NĂM 2016 HƯỚNG DẪN QUẢN LÝ LAO ĐỘNG, TIỀN LƯƠNG, THÙ LAO VÀ TIỀN THƯỞNG TRONG CÔNG TY QUẢN LÝ TÀI SẢN CỦA CÁC TỔ CHỨC TÍN DỤNG VIỆT NAM</w:t>
      </w:r>
    </w:p>
    <w:p>
      <w:pPr>
        <w:jc w:val="both"/>
      </w:pPr>
      <w:r>
        <w:t>Căn cứ Nghị định số 14/2017/NĐ-CP ngày 17 tháng 02 năm 2017 của Chính phủ quy định chức năng, nhiệm vụ, quyền hạn và cơ cấu tổ chức của Bộ Lao động - Thương bi nh và Xã hội;</w:t>
      </w:r>
    </w:p>
    <w:p>
      <w:pPr>
        <w:jc w:val="both"/>
      </w:pPr>
      <w:r>
        <w:t>Căn cứ Nghị định số 53/2013/NĐ-CP ngày 18 tháng 5 năm 2013 của Chính phủ về thành lập, tổ chức và hoạt động của Công ty Quản lý tài sản của các tổ chức tín dụng Việt Nam; Nghị định số 34/2015/NĐ-CP ngày 31 tháng 3 năm 2015 và Nghị định số 1 8/2016/NĐ-CP ngày 18 tháng 3 năm 2016 của Chính phủ sử a đổ 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51/2016/NĐ-CP ngày 13 tháng 6 năm 2016 của Chính phủ quy định quản lý lao động, tiề n lương và tiề n thưởng đố i với người lao động trong công ty trách nhiệm hữu hạn một thành viên do Nhà nước nắ m giữ 100% vốn điều lệ; Nghị định số 52/2016/NĐ-CP ngày 13 tháng 6 năm 2016 của Chính phủ quy định tiề n lương, thù lao, tiề n thưởng đố i với người quản lý công ty trách nhiệm hữu hạn một thành viên do Nhà nước nắ m giữ 100% vố n điều lệ;</w:t>
      </w:r>
    </w:p>
    <w:p>
      <w:pPr>
        <w:jc w:val="both"/>
      </w:pPr>
      <w:r>
        <w:t>Theo đề nghị của Cục trưởng Cục Quan hệ lao động và Tiề n lương;</w:t>
      </w:r>
    </w:p>
    <w:p>
      <w:pPr>
        <w:jc w:val="both"/>
      </w:pPr>
      <w:r>
        <w:t>Bộ trưởng Bộ Lao động - Thương binh và Xã hội ban hành Thông tư sử a đổ i một số điều của Thông tư số 37/2016/TT-BLĐTBXH ngày 25 tháng 10 năm 2016 hướng dẫn quản lý lao động, tiề n lương, thù lao và tiền thưởng trong Công ty Quản lý tài sản của các tổ chức tín dụng Việt Nam.</w:t>
      </w:r>
    </w:p>
    <w:p>
      <w:pPr>
        <w:jc w:val="both"/>
      </w:pPr>
      <w:r>
        <w:rPr>
          <w:b/>
        </w:rPr>
        <w:t>Điều 1 . Sửa đổi một số điều của Thông tư số 37/2016/TT-BLĐTBXH ngày 25 tháng 10 năm 2016 hướng dẫn quản lý lao động, tiền lương, thù lao và tiền thưởng trong Công ty Quản lý tài sản của các tổ chức tín dụng Việt Nam</w:t>
      </w:r>
    </w:p>
    <w:p>
      <w:pPr>
        <w:jc w:val="both"/>
      </w:pPr>
      <w:r>
        <w:t>1. Sửa đổi điểm b Khoản 2 Điều 3 Mục 2 như sau:</w:t>
      </w:r>
    </w:p>
    <w:p>
      <w:pPr>
        <w:jc w:val="both"/>
      </w:pPr>
      <w:r>
        <w:t>"b. Chỉ tiêu lợi nhuận (kế hoạch, thực hiện trong năm hoặc thực hiện của năm trước liền kề) được thay bằng chỉ tiêu chênh lệch thu chi (tổng doanh thu trừ tổng chi phí).".</w:t>
      </w:r>
    </w:p>
    <w:p>
      <w:pPr>
        <w:jc w:val="both"/>
      </w:pPr>
      <w:r>
        <w:t>2. Sửa đổi Điều 4 Mục 2 như sau:</w:t>
      </w:r>
    </w:p>
    <w:p>
      <w:pPr>
        <w:jc w:val="both"/>
      </w:pPr>
      <w:r>
        <w:t>"1. Khi xác định quỹ tiền lương kế hoạch, quỹ tiền lương thực hiện của người lao động, VAMC loại trừ các yếu tố khách quan ảnh hưởng đến năng suất lao động, chênh lệch thu chi, bao gồm:</w:t>
      </w:r>
    </w:p>
    <w:p>
      <w:pPr>
        <w:jc w:val="both"/>
      </w:pPr>
      <w:r>
        <w:t>a) Ảnh hưởng của các yếu tố khách quan quy định tại Điều 11 Thông tư số 26/2016/TT-BLĐTBXH.</w:t>
      </w:r>
    </w:p>
    <w:p>
      <w:pPr>
        <w:jc w:val="both"/>
      </w:pPr>
      <w:r>
        <w:t>b) Nhà nước có quyết định can thiệp làm ảnh hưởng trực tiếp đến chỉ tiêu chênh lệch thu chi hoặc ảnh hưởng trực tiếp đến việc mua hoặc bán khoản nợ xấu và tài sản đảm bảo; điều chỉnh tỷ lệ tính trên số tiền thu hồi của các khoản nợ xấu được VAMC mua bằng trái phiếu đặc biệt; điều chỉnh tỷ lệ tính trên số dư còn lại cuối kỳ của khoản nợ mà VAMC đã mua bằng trái phiếu đặc biệt.</w:t>
      </w:r>
    </w:p>
    <w:p>
      <w:pPr>
        <w:jc w:val="both"/>
      </w:pPr>
      <w:r>
        <w:t>c) VAMC thực hiện các khoản đầu tư mới cho hoạt động kinh doanh (không bao gồm các khoản đầu tư, sửa chữa, nâng cấp tài sản đảm bảo các khoản nợ VAMC đã mua để cải tạo thành trụ sở làm việc hoặc cho thuê).</w:t>
      </w:r>
    </w:p>
    <w:p>
      <w:pPr>
        <w:jc w:val="both"/>
      </w:pPr>
      <w:r>
        <w:t>2. Việc loại trừ yếu tố khách quan quy định tại Khoản 1 Điều này được thực hiện theo nguyên tắc như sau:</w:t>
      </w:r>
    </w:p>
    <w:p>
      <w:pPr>
        <w:jc w:val="both"/>
      </w:pPr>
      <w:r>
        <w:t>a) Năng suất lao động, chênh lệch thu chi bị ảnh hưởng bởi các yếu tố khách quan phải được lượng hóa và tính toán bằng số liệu cụ thể.</w:t>
      </w:r>
    </w:p>
    <w:p>
      <w:pPr>
        <w:jc w:val="both"/>
      </w:pPr>
      <w:r>
        <w:t>b) Yếu tố khách quan làm giảm (hoặc tăng) năng suất lao động, chênh lệch thu chi thì được cộng thêm (hoặc giảm trừ) phần năng suất lao động, chênh lệch thu chi giảm (hoặc tăng) tương ứng vào chỉ tiêu năng suất lao động, chênh lệch thu chi trong năm.</w:t>
      </w:r>
    </w:p>
    <w:p>
      <w:pPr>
        <w:jc w:val="both"/>
      </w:pPr>
      <w:r>
        <w:t>c) Khi xác định quỹ tiền lương thực hiện, VAMC phải đánh giá lại việc thực hiện các yếu tố khách quan so với kế hoạch để loại trừ ảnh hưởng đến năng suất lao động, chênh lệch thu chi.".</w:t>
      </w:r>
    </w:p>
    <w:p>
      <w:pPr>
        <w:jc w:val="both"/>
      </w:pPr>
      <w:r>
        <w:t>3. Sửa đổi điểm b Khoản 2 Điều 6 Mục 3 như sau:</w:t>
      </w:r>
    </w:p>
    <w:p>
      <w:pPr>
        <w:jc w:val="both"/>
      </w:pPr>
      <w:r>
        <w:t>"b. Việc loại trừ yếu tố khách quan ảnh hưởng đến năng suất lao động, chênh lệch thu chi được thực hiện theo quy định tại Điều 4 Thông tư này.".</w:t>
      </w:r>
    </w:p>
    <w:p>
      <w:pPr>
        <w:jc w:val="both"/>
      </w:pPr>
      <w:r>
        <w:rPr>
          <w:b/>
        </w:rPr>
        <w:t>Điều 2. Điều khoản thi hành</w:t>
      </w:r>
    </w:p>
    <w:p>
      <w:pPr>
        <w:jc w:val="both"/>
      </w:pPr>
      <w:r>
        <w:t>Thông tư này có hiệu lực thi hành kể từ ngày 15 tháng 8 năm 2018. Các quy định tại Thông tư này được áp dụng kể từ ngày 01 tháng 01 năm 2018.</w:t>
      </w:r>
    </w:p>
    <w:p>
      <w:pPr>
        <w:jc w:val="both"/>
      </w:pPr>
      <w:r>
        <w:t>Trong quá trình thực hiện nếu có vướng mắc, đề nghị các cơ quan, đơn vị phản ánh về Bộ Lao động - Thương binh và Xã hội để hướng dẫn bổ sung kịp thời./.</w:t>
      </w:r>
    </w:p>
    <w:p>
      <w:r>
        <w:rPr>
          <w:i/>
        </w:rPr>
        <w:t>Nguồn: Cơ sở dữ liệu quốc gia về văn bản pháp luật (Bộ Tư pháp). VietSmart Legal, legal.giangpham.asia/van-ban/129526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