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63/2007/QĐ-BGTVT</w:t>
      </w:r>
    </w:p>
    <w:p>
      <w:pPr>
        <w:jc w:val="both"/>
      </w:pPr>
      <w:r>
        <w:t>Hà Nội, Ngày 28 tháng 12 năm 2007</w:t>
      </w:r>
    </w:p>
    <w:p>
      <w:pPr>
        <w:jc w:val="center"/>
      </w:pPr>
      <w:r>
        <w:rPr>
          <w:b/>
        </w:rPr>
        <w:t>QUYẾT ĐỊNH</w:t>
      </w:r>
    </w:p>
    <w:p>
      <w:pPr>
        <w:jc w:val="both"/>
      </w:pPr>
      <w:r>
        <w:t>Ban hành Quy định về vận chuyển hàng siêu trường, siêu trọng và lưu hành xe bánh xích gây hư hại mặt đường, xe quá tải trọng, quá khổ giới hạn của đường bộ trên đường bộ</w:t>
      </w:r>
    </w:p>
    <w:p>
      <w:pPr>
        <w:jc w:val="both"/>
      </w:pPr>
      <w:r>
        <w:t>_________________________</w:t>
      </w:r>
    </w:p>
    <w:p>
      <w:pPr>
        <w:jc w:val="both"/>
      </w:pPr>
      <w:r>
        <w:t>BỘ TRƯỞNG BỘ GIAO THÔNG VẬN TẢI</w:t>
      </w:r>
    </w:p>
    <w:p>
      <w:pPr>
        <w:jc w:val="both"/>
      </w:pPr>
      <w:r>
        <w:t>Căn cứ Luật Giao thông đường bộ ngày 29 tháng 6 năm 2001;</w:t>
      </w:r>
    </w:p>
    <w:p>
      <w:pPr>
        <w:jc w:val="both"/>
      </w:pPr>
      <w:r>
        <w:t>Căn cứ Nghị định số 34/2003/NĐ-CP ngày 04 tháng 04 năm 2003 của Chính phủ quy định chức năng, nhiệm vụ, quyền hạn và cơ cấu tổ chức của Bộ Giao thông vận tải;</w:t>
      </w:r>
    </w:p>
    <w:p>
      <w:pPr>
        <w:jc w:val="both"/>
      </w:pPr>
      <w:r>
        <w:t>Theo đề nghị của Vụ trưởng Vụ Vận tải và Cục trưởng Cục Đường bộ Việt Nam,</w:t>
      </w:r>
    </w:p>
    <w:p>
      <w:pPr>
        <w:jc w:val="center"/>
      </w:pPr>
      <w:r>
        <w:rPr>
          <w:b/>
        </w:rPr>
        <w:t>QUYẾT ĐỊNH:</w:t>
      </w:r>
    </w:p>
    <w:p>
      <w:pPr>
        <w:jc w:val="both"/>
      </w:pPr>
      <w:r>
        <w:rPr>
          <w:b/>
        </w:rPr>
        <w:t>Điều 1. Ban hành kèm theo Quyết định này "Quy định về vận chuyển hàng siêu trường, siêu trọng và lưu hành xe bánh xích gây hư hại mặt đường, xe quá tải trọng, quá khổ giới hạn của đường bộ trên đường bộ".</w:t>
      </w:r>
    </w:p>
    <w:p>
      <w:pPr>
        <w:jc w:val="both"/>
      </w:pPr>
      <w:r>
        <w:rPr>
          <w:b/>
        </w:rPr>
        <w:t>Điều 2. Quyết định này có hiệu lực thi hành sau 15 ngày kể từ ngày đăng Công báo và bãi bỏ:</w:t>
      </w:r>
    </w:p>
    <w:p>
      <w:pPr>
        <w:jc w:val="both"/>
      </w:pPr>
      <w:r>
        <w:t>1. Quyết định số 824/2002/QĐ-BGTVT ngày 25 tháng 03 năm 2002 của Bộ trưởng Bộ Giao thông vận tải ban hành Quy định vận chuyển hàng siêu trường, siêu trọng bằng đường bộ;</w:t>
      </w:r>
    </w:p>
    <w:p>
      <w:pPr>
        <w:jc w:val="both"/>
      </w:pPr>
      <w:r>
        <w:t>2. Quyết định số 2112/2003/QĐ-BGTVT ngày 21 tháng 07 năm 2003 của Bộ trưởng Bộ Giao thông vận tải về việc bổ sung, sửa đổi một số điều của Quy định vận chuyển hàng siêu trường, siêu trọng bằng đường bộ (ban hành kèm theo Quyết định số 824/2002/QĐ-BGTVT ngày 25 tháng 03 năm 2002 của Bộ trưởng Bộ Giao thông vận tải);</w:t>
      </w:r>
    </w:p>
    <w:p>
      <w:pPr>
        <w:jc w:val="both"/>
      </w:pPr>
      <w:r>
        <w:t>3. Thông tư số 21/2001/TT-BGTVT ngày 10 tháng 12 năm 2001 của Bộ Giao thông vận tải hướng dẫn việc lưu hành xe quá tải, quá khổ và xe bánh xích trên đường bộ.</w:t>
      </w:r>
    </w:p>
    <w:p>
      <w:pPr>
        <w:jc w:val="both"/>
      </w:pPr>
      <w:r>
        <w:rPr>
          <w:b/>
        </w:rPr>
        <w:t>Điều 3. Chánh Văn phòng Bộ, Chánh Thanh tra Bộ, Vụ trưởng các Vụ, Cục trưởng các Cục thuộc Bộ, Giám đốc Sở Giao thông vận tải (Giao thông công chính) các tỉnh, thành phố trực thuộc Trung ương, Thủ trưởng các cơ quan, tổ chức và cá nhân có liên quan chịu trách nhiệm thi hành Quyết định này./.</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legal.giangpham.asia/van-ban/12930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