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Document Content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SỬA ĐỔI, BỔ SUNG THÔNG TƯ SỐ 21/2016/TT-BNNPTNT NGÀY 28/6/2016 CỦA BỘ TRƯỞNG BỘ NÔNG NGHIỆP VÀ PHÁT TRIỂN NÔNG THÔN QUY ĐỊNH VỀ KHAI THÁC CHÍNH VÀ TẬN DỤNG, TẬN THU LÂM SẢN</w:t>
      </w:r>
    </w:p>
    <w:p>
      <w:pPr>
        <w:jc w:val="both"/>
      </w:pPr>
      <w:r>
        <w:t>Căn cứ Luật Bảo vệ và phát triển rừng năm 2004;</w:t>
      </w:r>
    </w:p>
    <w:p>
      <w:pPr>
        <w:jc w:val="both"/>
      </w:pPr>
      <w:r>
        <w:t>Căn cứ Nghị định số 15/2017/NĐ-CP ngày 17/02/2017 của Chính phủ Quy định chức năng, nhiệm vụ, quyền hạn và cơ cấu tổ chức của Bộ Nông nghiệp và Phát triển nông thôn;</w:t>
      </w:r>
    </w:p>
    <w:p>
      <w:pPr>
        <w:jc w:val="both"/>
      </w:pPr>
      <w:r>
        <w:t>Căn cứ Nghị định số 23/2006/NĐ-CP ngày 03/03/2006 của Chính phủ về thi hành Luật Bảo vệ và phát triển rừng;</w:t>
      </w:r>
    </w:p>
    <w:p>
      <w:pPr>
        <w:jc w:val="both"/>
      </w:pPr>
      <w:r>
        <w:t>Căn cứ Nghị định số 117/2010/NĐ-CP ngày 24/12/2010 của Chính phủ về tổ chức quản lý hệ thống rừng đặc dụng.</w:t>
      </w:r>
    </w:p>
    <w:p>
      <w:pPr>
        <w:jc w:val="both"/>
      </w:pPr>
      <w:r>
        <w:t>Theo đề nghị của Tổng cục trưởng Tổng cục Lâm nghiệp,</w:t>
      </w:r>
    </w:p>
    <w:p>
      <w:pPr>
        <w:jc w:val="both"/>
      </w:pPr>
      <w:r>
        <w:t>Bộ trưởng Bộ Nông nghiệp và Phát triển nông thôn ban hành Thông tư sửa đổi, bổ sung Thông tư số 21/2016/TT-BNNPTNT ngày 28/6/2016 của Bộ trưởng Bộ Nông nghiệp và Phát triển nông thôn Quy định về khai thác chính và tận dụng, tận thu lâm sản như sau:</w:t>
      </w:r>
    </w:p>
    <w:p>
      <w:pPr>
        <w:jc w:val="both"/>
      </w:pPr>
      <w:r>
        <w:rPr>
          <w:b/>
        </w:rPr>
        <w:t>Điều 1. Sửa đổi, bổ sung một số quy định của Thông tư số 21/2016/TT-BNNPTNT ngày 28/6/2016 của Bộ trưởng Bộ Nông nghiệp và Phát triển nông thôn Quy định về khai thác chính và tận dụng, tận thu lâm sản</w:t>
      </w:r>
    </w:p>
    <w:p>
      <w:pPr>
        <w:jc w:val="both"/>
      </w:pPr>
      <w:r>
        <w:t>1. Điều 6 được sửa đổi, bổ sung như sau:</w:t>
      </w:r>
    </w:p>
    <w:p>
      <w:pPr>
        <w:jc w:val="both"/>
      </w:pPr>
      <w:r>
        <w:t>a) Sửa đổi tiêu đề của Điều 6 như sau:</w:t>
      </w:r>
    </w:p>
    <w:p>
      <w:pPr>
        <w:jc w:val="both"/>
      </w:pPr>
      <w:r>
        <w:t>“Điều 6 . Khai thác chính, tận dụng, tận thu gỗ rừng trồng ”</w:t>
      </w:r>
    </w:p>
    <w:p>
      <w:pPr>
        <w:jc w:val="both"/>
      </w:pPr>
      <w:r>
        <w:t>b) Điểm b Khoản 1 Điều 6 được sửa đổi, bổ sung như sau:</w:t>
      </w:r>
    </w:p>
    <w:p>
      <w:pPr>
        <w:jc w:val="both"/>
      </w:pPr>
      <w:r>
        <w:t>“Trước khi khai thác, tận dụng, tận thu gỗ, chủ rừng lập bảng kê lâm sản khai thác gửi đến cấp thẩm quyền, cụ thể:</w:t>
      </w:r>
    </w:p>
    <w:p>
      <w:pPr>
        <w:jc w:val="both"/>
      </w:pPr>
      <w:r>
        <w:t>Chủ rừng là tổ chức, gửi đến Hạt Kiểm lâm sở tại hoặc Chi cục Kiểm lâm (nơi không có Hạt kiểm lâm).</w:t>
      </w:r>
    </w:p>
    <w:p>
      <w:pPr>
        <w:jc w:val="both"/>
      </w:pPr>
      <w:r>
        <w:t>Chủ rừng là hộ gia đình, cá nhân, cộng đồng dân cư gửi đến Ủy ban nhân dân cấp xã”.</w:t>
      </w:r>
    </w:p>
    <w:p>
      <w:pPr>
        <w:jc w:val="both"/>
      </w:pPr>
      <w:r>
        <w:t>c) Bổ sung Khoản 3 Điều 6 như sau:</w:t>
      </w:r>
    </w:p>
    <w:p>
      <w:pPr>
        <w:jc w:val="both"/>
      </w:pPr>
      <w:r>
        <w:t>“3. Khai thác, tận thu gỗ rừng trồng là rừng nghiên cứu, thực nghiệm khoa học</w:t>
      </w:r>
    </w:p>
    <w:p>
      <w:pPr>
        <w:jc w:val="both"/>
      </w:pPr>
      <w:r>
        <w:t>a) Được khai thác, tận thu gỗ theo quy định tại Điểm a, b Khoản 3, Điều 21 Nghị định số 117/2010/NĐ-CP ngày 24/12/2010 của Chính phủ về tổ chức quản lý hệ thống rừng đặc dụng.</w:t>
      </w:r>
    </w:p>
    <w:p>
      <w:pPr>
        <w:jc w:val="both"/>
      </w:pPr>
      <w:r>
        <w:t>b) Thời điểm khai thác, tận thu gỗ: sau khi các công trình, đề tài nghiên cứu, thực nghiệm khoa học đã kết thúc, được cơ quan có thẩm quyền nghiệm thu, đánh giá; nếu khai thác trắng phải trồng lại rừng mới ngay vụ trồng rừng kế tiếp.</w:t>
      </w:r>
    </w:p>
    <w:p>
      <w:pPr>
        <w:jc w:val="both"/>
      </w:pPr>
      <w:r>
        <w:t>c) Trước khi khai thác, tận thu gỗ chủ rừng lập bảng kê lâm sản khai thác gửi đến cấp thẩm quyền, cụ thể:</w:t>
      </w:r>
    </w:p>
    <w:p>
      <w:pPr>
        <w:jc w:val="both"/>
      </w:pPr>
      <w:r>
        <w:t>Đối với đơn vị trực thuộc Trung ương, gửi đến Tổng cục Lâm nghiệp;</w:t>
      </w:r>
    </w:p>
    <w:p>
      <w:pPr>
        <w:jc w:val="both"/>
      </w:pPr>
      <w:r>
        <w:t>Đối với đơn vị trực thuộc tỉnh, gửi đến Sở Nông nghiệp và Phát triển nông thôn.</w:t>
      </w:r>
    </w:p>
    <w:p>
      <w:pPr>
        <w:jc w:val="both"/>
      </w:pPr>
      <w:r>
        <w:t>d) Chủ rừng tự tổ chức khai thác, tận thu theo quy định; đo đếm tính toán khối lượng gỗ khai thác, tận thu”.</w:t>
      </w:r>
    </w:p>
    <w:p>
      <w:pPr>
        <w:jc w:val="both"/>
      </w:pPr>
      <w:r>
        <w:t>2. Điểm b Điều 7 được sửa đổi, bổ sung như sau:</w:t>
      </w:r>
    </w:p>
    <w:p>
      <w:pPr>
        <w:jc w:val="both"/>
      </w:pPr>
      <w:r>
        <w:t>“b) Trường hợp cần xác nhận nguồn gốc gỗ: Trước khi khai thác, tận dụng, tận thu gỗ chủ rừng lập bảng kê lâm sản khai thác gửi đến Ủy ban nhân dân cấp xã.</w:t>
      </w:r>
    </w:p>
    <w:p>
      <w:pPr>
        <w:jc w:val="both"/>
      </w:pPr>
      <w:r>
        <w:t>3. Khoản 4 Điều 20 được sửa đổi, bổ sung như sau:</w:t>
      </w:r>
    </w:p>
    <w:p>
      <w:pPr>
        <w:jc w:val="both"/>
      </w:pPr>
      <w:r>
        <w:t>“4. Ban hành kèm theo Thông tư này:</w:t>
      </w:r>
    </w:p>
    <w:p>
      <w:pPr>
        <w:jc w:val="both"/>
      </w:pPr>
      <w:r>
        <w:t>a) Phụ lục 1: Mẫu hồ sơ thiết kế khai thác, tận dụng, tận thu lâm sản áp dụng đối với: Điểm a, b Khoản 3 Điều 4; Điểm b, c Khoản 2 Điều 6.</w:t>
      </w:r>
    </w:p>
    <w:p>
      <w:pPr>
        <w:jc w:val="both"/>
      </w:pPr>
      <w:r>
        <w:t>b) Phụ lục 2: Bảng kê lâm sản khai thác áp dụng đối với Điểm a Khoản 2 Điều 5; Điểm b Khoản 1 và Điểm c Khoản 3 Điều 6; Điểm b Điều 7; Khoản 3 Điều 8; Khoản 2, 3 Điều 9; Điểm a, b Khoản 2 Điều 10; Khoản 1, Điểm b, c Khoản 2 và Điểm b, c Khoản 3 Điều 11.</w:t>
      </w:r>
    </w:p>
    <w:p>
      <w:pPr>
        <w:jc w:val="both"/>
      </w:pPr>
      <w:r>
        <w:t>c) Phụ lục 3: Giấy đề nghị cấp phép khai thác áp dụng đối với: Điểm b Khoản 3 Điều 4; Điểm c Khoản 2 Điều 6; Điểm b Khoản 2 Điều 10; Điểm c Khoản 2 và Điểm c Khoản 3 Điều 11.</w:t>
      </w:r>
    </w:p>
    <w:p>
      <w:pPr>
        <w:jc w:val="both"/>
      </w:pPr>
      <w:r>
        <w:t>d) Phụ lục 4: Mẫu báo cáo khai thác gỗ và lâm sản ngoài gỗ áp dụng đối với Điều 19.</w:t>
      </w:r>
    </w:p>
    <w:p>
      <w:pPr>
        <w:jc w:val="both"/>
      </w:pPr>
      <w:r>
        <w:t>4. Bảng kê lâm sản quy định tại Điểm b Khoản 4 Điều 4; Điểm c Khoản 1 và Điểm đ Khoản 2 Điều 6; Khoản 3 Điều 8; Khoản 3 Điều 10; Khoản 4 Điều 11 được thực hiện theo Mẫu số 01 ban hành kèm theo Thông tư số 01/2012/TT-BNN ngày 4/01/2012 của Bộ trưởng Bộ Nông nghiệp và Phát triển nông thôn Quy định hồ sơ lâm sản hợp pháp và kiểm tra nguồn gốc lâm sản.</w:t>
      </w:r>
    </w:p>
    <w:p>
      <w:pPr>
        <w:jc w:val="both"/>
      </w:pPr>
      <w:r>
        <w:t>5. Sửa đổi, bổ sung Phụ lục 2 ban hành kèm theo Thông tư số 21/2016/TT-BNNPTNT ngày 28/6/2016 của Bộ trưởng Bộ Nông nghiệp và Phát triển nông thôn Quy định về khai thác chính và tận dụng, tận thu lâm sản (Phụ lục 2 kèm theo) .</w:t>
      </w:r>
    </w:p>
    <w:p>
      <w:pPr>
        <w:jc w:val="both"/>
      </w:pPr>
      <w:r>
        <w:rPr>
          <w:b/>
        </w:rPr>
        <w:t>Điều 2. Điều khoản thi hành</w:t>
      </w:r>
    </w:p>
    <w:p>
      <w:pPr>
        <w:jc w:val="both"/>
      </w:pPr>
      <w:r>
        <w:t>1. Thông tư này có hiệu lực từ ngày 25 tháng 10 năm 2017.</w:t>
      </w:r>
    </w:p>
    <w:p>
      <w:pPr>
        <w:jc w:val="both"/>
      </w:pPr>
      <w:r>
        <w:t>2. Trong quá trình thực hiện, nếu có vướng mắc phản ánh kịp thời về Bộ Nông nghiệp và Phát triển nông thôn để hướng dẫn, giải quyết./.</w:t>
      </w:r>
    </w:p>
    <w:p>
      <w:pPr>
        <w:jc w:val="both"/>
      </w:pPr>
      <w:r>
        <w:t>Nơi nhận:</w:t>
      </w:r>
    </w:p>
    <w:p>
      <w:pPr>
        <w:jc w:val="both"/>
      </w:pPr>
      <w:r>
        <w:t>- Thủ tướng, các Phó Thủ tướng CP (để báo cáo);</w:t>
      </w:r>
    </w:p>
    <w:p>
      <w:pPr>
        <w:jc w:val="both"/>
      </w:pPr>
      <w:r>
        <w:t>- Văn phòng Quốc hội;</w:t>
      </w:r>
    </w:p>
    <w:p>
      <w:pPr>
        <w:jc w:val="both"/>
      </w:pPr>
      <w:r>
        <w:t>- Văn phòng Chính phủ;</w:t>
      </w:r>
    </w:p>
    <w:p>
      <w:pPr>
        <w:jc w:val="both"/>
      </w:pPr>
      <w:r>
        <w:t>- Bộ trưởng Bộ NN&amp;PTNT;</w:t>
      </w:r>
    </w:p>
    <w:p>
      <w:pPr>
        <w:jc w:val="both"/>
      </w:pPr>
      <w:r>
        <w:t>- Các Bộ, cơ quan ngang Bộ, cơ quan thuộc CP;</w:t>
      </w:r>
    </w:p>
    <w:p>
      <w:pPr>
        <w:jc w:val="both"/>
      </w:pPr>
      <w:r>
        <w:t>- Viện KSND Tối cao, Tòa án ND Tối cao;</w:t>
      </w:r>
    </w:p>
    <w:p>
      <w:pPr>
        <w:jc w:val="both"/>
      </w:pPr>
      <w:r>
        <w:t>- Cơ quan Trung ương của các đoàn thể;</w:t>
      </w:r>
    </w:p>
    <w:p>
      <w:pPr>
        <w:jc w:val="both"/>
      </w:pPr>
      <w:r>
        <w:t>- Lãnh đạo Bộ NN&amp;PTNT;</w:t>
      </w:r>
    </w:p>
    <w:p>
      <w:pPr>
        <w:jc w:val="both"/>
      </w:pPr>
      <w:r>
        <w:t>- HĐND, UBND các tỉnh, TP trực thuộc TƯ;</w:t>
      </w:r>
    </w:p>
    <w:p>
      <w:pPr>
        <w:jc w:val="both"/>
      </w:pPr>
      <w:r>
        <w:t>- Sở NN&amp;PTNT các tỉnh, TP trực thuộc TƯ;</w:t>
      </w:r>
    </w:p>
    <w:p>
      <w:pPr>
        <w:jc w:val="both"/>
      </w:pPr>
      <w:r>
        <w:t>- Cục Kiểm tra văn bản-Bộ Tư pháp;</w:t>
      </w:r>
    </w:p>
    <w:p>
      <w:pPr>
        <w:jc w:val="both"/>
      </w:pPr>
      <w:r>
        <w:t>- Công báo Chính phủ;</w:t>
      </w:r>
    </w:p>
    <w:p>
      <w:pPr>
        <w:jc w:val="both"/>
      </w:pPr>
      <w:r>
        <w:t>- Cổng thông tin điện tử: Chính phủ, Bộ NN&amp;PTNT;</w:t>
      </w:r>
    </w:p>
    <w:p>
      <w:pPr>
        <w:jc w:val="both"/>
      </w:pPr>
      <w:r>
        <w:t>- Các đơn vị thuộc Bộ NN&amp;PTNT;</w:t>
      </w:r>
    </w:p>
    <w:p>
      <w:pPr>
        <w:jc w:val="both"/>
      </w:pPr>
      <w:r>
        <w:t>- Lưu: VT, TCLN.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Hà Công Tuấn</w:t>
      </w:r>
    </w:p>
    <w:p>
      <w:pPr>
        <w:jc w:val="both"/>
      </w:pPr>
      <w:r>
        <w:t>Phụ lục 2: Mẫu bảng kê lâm sản khai thác (Kèm theo Thông tư số 21/2016/TT-BNNPTNT ngày 28/6/2016 của Bộ trưởng Bộ Nông nghiệp và Phát triển nông thôn) được sửa đổi, bổ sung như sau:</w:t>
      </w:r>
    </w:p>
    <w:p>
      <w:pPr>
        <w:jc w:val="both"/>
      </w:pPr>
      <w:r>
        <w:t>“CỘNG HÒA XÃ HỘI CHỦ NGHĨA VIỆT NAM</w:t>
      </w:r>
    </w:p>
    <w:p>
      <w:pPr>
        <w:jc w:val="both"/>
      </w:pPr>
      <w:r>
        <w:t>Độc lập - Tự do – Hạnh phúc</w:t>
      </w:r>
    </w:p>
    <w:p>
      <w:pPr>
        <w:jc w:val="both"/>
      </w:pPr>
      <w:r>
        <w:t>----------------</w:t>
      </w:r>
    </w:p>
    <w:p>
      <w:pPr>
        <w:jc w:val="both"/>
      </w:pPr>
      <w:r>
        <w:t>BẢNG KÊ LÂM SẢN KHAI THÁC</w:t>
      </w:r>
    </w:p>
    <w:p>
      <w:pPr>
        <w:jc w:val="both"/>
      </w:pPr>
      <w:r>
        <w:t>1. Thông tin chung</w:t>
      </w:r>
    </w:p>
    <w:p>
      <w:pPr>
        <w:jc w:val="both"/>
      </w:pPr>
      <w:r>
        <w:t>- Tên chủ rừng, hoặc đơn vị khai thác .………………………………</w:t>
      </w:r>
    </w:p>
    <w:p>
      <w:pPr>
        <w:jc w:val="both"/>
      </w:pPr>
      <w:r>
        <w:t>- Diện tích khai thác: ………………..ha;</w:t>
      </w:r>
    </w:p>
    <w:p>
      <w:pPr>
        <w:jc w:val="both"/>
      </w:pPr>
      <w:r>
        <w:t>- Thời gian khai thác: Từ ……….đến………….</w:t>
      </w:r>
    </w:p>
    <w:p>
      <w:pPr>
        <w:jc w:val="both"/>
      </w:pPr>
      <w:r>
        <w:t>2. Nội dung</w:t>
      </w:r>
    </w:p>
    <w:p>
      <w:pPr>
        <w:jc w:val="both"/>
      </w:pPr>
      <w:r>
        <w:t>a) Đối với gỗ rừng tự nhiên:</w:t>
      </w:r>
    </w:p>
    <w:p>
      <w:pPr>
        <w:jc w:val="both"/>
      </w:pPr>
      <w:r>
        <w:t>TT</w:t>
      </w:r>
    </w:p>
    <w:p>
      <w:pPr>
        <w:jc w:val="both"/>
      </w:pPr>
      <w:r>
        <w:t>Địa danh</w:t>
      </w:r>
    </w:p>
    <w:p>
      <w:pPr>
        <w:jc w:val="both"/>
      </w:pPr>
      <w:r>
        <w:t>Loài cây</w:t>
      </w:r>
    </w:p>
    <w:p>
      <w:pPr>
        <w:jc w:val="both"/>
      </w:pPr>
      <w:r>
        <w:t>Đường kính (cm)</w:t>
      </w:r>
    </w:p>
    <w:p>
      <w:pPr>
        <w:jc w:val="both"/>
      </w:pPr>
      <w:r>
        <w:t>Chiều cao (m)</w:t>
      </w:r>
    </w:p>
    <w:p>
      <w:pPr>
        <w:jc w:val="both"/>
      </w:pPr>
      <w:r>
        <w:t>Khối lượng (m 3 )</w:t>
      </w:r>
    </w:p>
    <w:p>
      <w:pPr>
        <w:jc w:val="both"/>
      </w:pPr>
      <w:r>
        <w:t>Tiểu khu</w:t>
      </w:r>
    </w:p>
    <w:p>
      <w:pPr>
        <w:jc w:val="both"/>
      </w:pPr>
      <w:r>
        <w:t>khoảnh</w:t>
      </w:r>
    </w:p>
    <w:p>
      <w:pPr>
        <w:jc w:val="both"/>
      </w:pPr>
      <w:r>
        <w:t>lô</w:t>
      </w:r>
    </w:p>
    <w:p>
      <w:pPr>
        <w:jc w:val="both"/>
      </w:pPr>
      <w:r>
        <w:t>TK: 150</w:t>
      </w:r>
    </w:p>
    <w:p>
      <w:pPr>
        <w:jc w:val="both"/>
      </w:pPr>
      <w:r>
        <w:t>K: 4</w:t>
      </w:r>
    </w:p>
    <w:p>
      <w:pPr>
        <w:jc w:val="both"/>
      </w:pPr>
      <w:r>
        <w:t>a</w:t>
      </w:r>
    </w:p>
    <w:p>
      <w:pPr>
        <w:jc w:val="both"/>
      </w:pPr>
      <w:r>
        <w:t>b</w:t>
      </w:r>
    </w:p>
    <w:p>
      <w:pPr>
        <w:jc w:val="both"/>
      </w:pPr>
      <w:r>
        <w:t>giổi</w:t>
      </w:r>
    </w:p>
    <w:p>
      <w:pPr>
        <w:jc w:val="both"/>
      </w:pPr>
      <w:r>
        <w:t>dầu</w:t>
      </w:r>
    </w:p>
    <w:p>
      <w:pPr>
        <w:jc w:val="both"/>
      </w:pPr>
      <w:r>
        <w:t>45</w:t>
      </w:r>
    </w:p>
    <w:p>
      <w:pPr>
        <w:jc w:val="both"/>
      </w:pPr>
      <w:r>
        <w:t>10</w:t>
      </w:r>
    </w:p>
    <w:p>
      <w:pPr>
        <w:jc w:val="both"/>
      </w:pPr>
      <w:r>
        <w:t>1,5</w:t>
      </w:r>
    </w:p>
    <w:p>
      <w:pPr>
        <w:jc w:val="both"/>
      </w:pPr>
      <w:r>
        <w:t>Tổng</w:t>
      </w:r>
    </w:p>
    <w:p>
      <w:pPr>
        <w:jc w:val="both"/>
      </w:pPr>
      <w:r>
        <w:t>b) Đối với gỗ rừng trồng:</w:t>
      </w:r>
    </w:p>
    <w:p>
      <w:pPr>
        <w:jc w:val="both"/>
      </w:pPr>
      <w:r>
        <w:t>TT</w:t>
      </w:r>
    </w:p>
    <w:p>
      <w:pPr>
        <w:jc w:val="both"/>
      </w:pPr>
      <w:r>
        <w:t>Địa danh</w:t>
      </w:r>
    </w:p>
    <w:p>
      <w:pPr>
        <w:jc w:val="both"/>
      </w:pPr>
      <w:r>
        <w:t>Loài cây</w:t>
      </w:r>
    </w:p>
    <w:p>
      <w:pPr>
        <w:jc w:val="both"/>
      </w:pPr>
      <w:r>
        <w:t>Cấp đường kính (cm)</w:t>
      </w:r>
    </w:p>
    <w:p>
      <w:pPr>
        <w:jc w:val="both"/>
      </w:pPr>
      <w:r>
        <w:t>Số cây</w:t>
      </w:r>
    </w:p>
    <w:p>
      <w:pPr>
        <w:jc w:val="both"/>
      </w:pPr>
      <w:r>
        <w:t>Khối lượng (m 3 )</w:t>
      </w:r>
    </w:p>
    <w:p>
      <w:pPr>
        <w:jc w:val="both"/>
      </w:pPr>
      <w:r>
        <w:t>Ghi rõ số lô, khoảnh, tiểu khu (hoặc Giấy chứng nhận quyền sử dụng đất, quyết định giao đất, cho thuê đất…vv) .</w:t>
      </w:r>
    </w:p>
    <w:p>
      <w:pPr>
        <w:jc w:val="both"/>
      </w:pPr>
      <w:r>
        <w:t>Keo</w:t>
      </w:r>
    </w:p>
    <w:p>
      <w:pPr>
        <w:jc w:val="both"/>
      </w:pPr>
      <w:r>
        <w:t>&lt;15</w:t>
      </w:r>
    </w:p>
    <w:p>
      <w:pPr>
        <w:jc w:val="both"/>
      </w:pPr>
      <w:r>
        <w:t>15 đến &lt;25</w:t>
      </w:r>
    </w:p>
    <w:p>
      <w:pPr>
        <w:jc w:val="both"/>
      </w:pPr>
      <w:r>
        <w:t>25 đến ….</w:t>
      </w:r>
    </w:p>
    <w:p>
      <w:pPr>
        <w:jc w:val="both"/>
      </w:pPr>
      <w:r>
        <w:t>5</w:t>
      </w:r>
    </w:p>
    <w:p>
      <w:pPr>
        <w:jc w:val="both"/>
      </w:pPr>
      <w:r>
        <w:t>1,5</w:t>
      </w:r>
    </w:p>
    <w:p>
      <w:pPr>
        <w:jc w:val="both"/>
      </w:pPr>
      <w:r>
        <w:t>-</w:t>
      </w:r>
    </w:p>
    <w:p>
      <w:pPr>
        <w:jc w:val="both"/>
      </w:pPr>
      <w:r>
        <w:t>Tổng</w:t>
      </w:r>
    </w:p>
    <w:p>
      <w:pPr>
        <w:jc w:val="both"/>
      </w:pPr>
      <w:r>
        <w:t>c) Đối với lâm sản khác ngoài gỗ:</w:t>
      </w:r>
    </w:p>
    <w:p>
      <w:pPr>
        <w:jc w:val="both"/>
      </w:pPr>
      <w:r>
        <w:t>TT</w:t>
      </w:r>
    </w:p>
    <w:p>
      <w:pPr>
        <w:jc w:val="both"/>
      </w:pPr>
      <w:r>
        <w:t>Địa danh</w:t>
      </w:r>
    </w:p>
    <w:p>
      <w:pPr>
        <w:jc w:val="both"/>
      </w:pPr>
      <w:r>
        <w:t>Loài lâm sản</w:t>
      </w:r>
    </w:p>
    <w:p>
      <w:pPr>
        <w:jc w:val="both"/>
      </w:pPr>
      <w:r>
        <w:t>Khối lượng (m 3 , cây, tấn)</w:t>
      </w:r>
    </w:p>
    <w:p>
      <w:pPr>
        <w:jc w:val="both"/>
      </w:pPr>
      <w:r>
        <w:t>Ghi rõ số lô, khoảnh, tiểu khu (hoặc Giấy chứng nhận quyền sử dụng đất, quyết định giao đất, cho thuê đất…vv ) .</w:t>
      </w:r>
    </w:p>
    <w:p>
      <w:pPr>
        <w:jc w:val="both"/>
      </w:pPr>
      <w:r>
        <w:t>Song mây</w:t>
      </w:r>
    </w:p>
    <w:p>
      <w:pPr>
        <w:jc w:val="both"/>
      </w:pPr>
      <w:r>
        <w:t>1000 cây</w:t>
      </w:r>
    </w:p>
    <w:p>
      <w:pPr>
        <w:jc w:val="both"/>
      </w:pPr>
      <w:r>
        <w:t>Tổng</w:t>
      </w:r>
    </w:p>
    <w:p>
      <w:pPr>
        <w:jc w:val="both"/>
      </w:pPr>
      <w:r>
        <w:t>Chủ rừng /đơn vị khai thác ”</w:t>
      </w:r>
    </w:p>
    <w:p>
      <w:r>
        <w:rPr>
          <w:i/>
        </w:rPr>
        <w:t>Nguồn: Cơ sở dữ liệu quốc gia về văn bản pháp luật (Bộ Tư pháp). VietSmart Legal, legal.giangpham.asia/van-ban/125895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