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202/2016/TT-BTC ngày 09</w:t>
      </w:r>
    </w:p>
    <w:p>
      <w:pPr>
        <w:jc w:val="both"/>
      </w:pPr>
      <w:r>
        <w:t>tháng 11 năm 2016 của Bộ trưởng Bộ Tài chính quy định mức thu, chế độ thu, nộp, quản lý và sử dụng phí trong lĩnh vực đăng ký giao dịch bảo đảm</w:t>
      </w:r>
    </w:p>
    <w:p>
      <w:pPr>
        <w:jc w:val="both"/>
      </w:pPr>
      <w:r>
        <w:t>-----------------------------------------------</w:t>
      </w:r>
    </w:p>
    <w:p>
      <w:pPr>
        <w:jc w:val="both"/>
      </w:pPr>
      <w:r>
        <w:t>Căn cứ Luật phí và lệ phí ngày 25 tháng 11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87/2017/NĐ-CP ngày 26 tháng 6 năm 2017 của Chính phủ quy định chức năng, nhiệm vụ, quyền hạn và cơ cấu tổ chức của Bộ Tài chính;</w:t>
      </w:r>
    </w:p>
    <w:p>
      <w:pPr>
        <w:jc w:val="both"/>
      </w:pPr>
      <w:r>
        <w:t>Thực hiện Nghị quyết số 75/NQ-CP ngày 09 tháng 8 năm 2017 của Chính phủ về phiên họp Chính phủ thường kỳ tháng 7 năm 2017;</w:t>
      </w:r>
    </w:p>
    <w:p>
      <w:pPr>
        <w:jc w:val="both"/>
      </w:pPr>
      <w:r>
        <w:t>Theo đề nghị của Vụ trưởng Vụ Chính sách thuế,</w:t>
      </w:r>
    </w:p>
    <w:p>
      <w:pPr>
        <w:jc w:val="both"/>
      </w:pPr>
      <w:r>
        <w:t>Bộ trưởng Bộ Tài chính ban hành Thông tư sửa đổi, bổ sung một số điều của Thông tư số 202/2016/TT-BTC ngày 09 tháng 11 năm 2016 của Bộ trưởng Bộ Tài chính quy định mức thu, chế độ thu, nộp, quản lý và sử dụng phí trong lĩnh vực đăng ký giao dịch bảo đảm.</w:t>
      </w:r>
    </w:p>
    <w:p>
      <w:pPr>
        <w:jc w:val="both"/>
      </w:pPr>
      <w:r>
        <w:rPr>
          <w:b/>
        </w:rPr>
        <w:t>Điều 1. Sửa đổi bổ sung điểm c, điểm đ mục 1 Điều 4 Thông tư số 202/2016/TT-BTC ngày 09 tháng 11 năm 2016 của Bộ trưởng Bộ Tài chính như sau:</w:t>
      </w:r>
    </w:p>
    <w:p>
      <w:pPr>
        <w:jc w:val="both"/>
      </w:pPr>
      <w:r>
        <w:t>Số TT</w:t>
      </w:r>
    </w:p>
    <w:p>
      <w:pPr>
        <w:jc w:val="both"/>
      </w:pPr>
      <w:r>
        <w:t>Nội dung</w:t>
      </w:r>
    </w:p>
    <w:p>
      <w:pPr>
        <w:jc w:val="both"/>
      </w:pPr>
      <w:r>
        <w:t>Mức thu</w:t>
      </w:r>
    </w:p>
    <w:p>
      <w:pPr>
        <w:jc w:val="both"/>
      </w:pPr>
      <w:r>
        <w:t>1</w:t>
      </w:r>
    </w:p>
    <w:p>
      <w:pPr>
        <w:jc w:val="both"/>
      </w:pPr>
      <w:r>
        <w:t>Phí đăng ký giao dịch bảo đảm</w:t>
      </w:r>
    </w:p>
    <w:p>
      <w:pPr>
        <w:jc w:val="both"/>
      </w:pPr>
      <w:r>
        <w:t>c</w:t>
      </w:r>
    </w:p>
    <w:p>
      <w:pPr>
        <w:jc w:val="both"/>
      </w:pPr>
      <w:r>
        <w:t>Đăng ký văn bản thông báo về việc xử lý tài sản bảo đảm</w:t>
      </w:r>
    </w:p>
    <w:p>
      <w:pPr>
        <w:jc w:val="both"/>
      </w:pPr>
      <w:r>
        <w:t>30.000 đồng/hồ sơ</w:t>
      </w:r>
    </w:p>
    <w:p>
      <w:pPr>
        <w:jc w:val="both"/>
      </w:pPr>
      <w:r>
        <w:t>đ</w:t>
      </w:r>
    </w:p>
    <w:p>
      <w:pPr>
        <w:jc w:val="both"/>
      </w:pPr>
      <w:r>
        <w:t>Cấp bản sao văn bản chứng nhận nội dung đăng ký giao dịch bảo đảm</w:t>
      </w:r>
    </w:p>
    <w:p>
      <w:pPr>
        <w:jc w:val="both"/>
      </w:pPr>
      <w:r>
        <w:t>25.000 đồng/trường hợp</w:t>
      </w:r>
    </w:p>
    <w:p>
      <w:pPr>
        <w:jc w:val="both"/>
      </w:pPr>
      <w:r>
        <w:rPr>
          <w:b/>
        </w:rPr>
        <w:t>Điều 2 . Điều khoản thi hành</w:t>
      </w:r>
    </w:p>
    <w:p>
      <w:pPr>
        <w:jc w:val="both"/>
      </w:pPr>
      <w:r>
        <w:t>1. Thông tư này có hiệu lực thi hành kể từ ngày 11 tháng 12 năm 2017.</w:t>
      </w:r>
    </w:p>
    <w:p>
      <w:pPr>
        <w:jc w:val="both"/>
      </w:pPr>
      <w:r>
        <w:t>2. Trong quá trình triển khai thực hiện, nếu có vướng mắc, đề nghị các tổ chức, cá nhân phản ánh kịp thời về Bộ Tài chính để nghiên cứu, giải quyết./.</w:t>
      </w:r>
    </w:p>
    <w:p>
      <w:r>
        <w:rPr>
          <w:i/>
        </w:rPr>
        <w:t>Nguồn: Cơ sở dữ liệu quốc gia về văn bản pháp luật (Bộ Tư pháp). VietSmart Legal, legal.giangpham.asia/van-ban/125714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