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jc w:val="both"/>
      </w:pPr>
      <w:r>
        <w:t>Document Content</w:t>
      </w:r>
    </w:p>
    <w:p>
      <w:pPr>
        <w:jc w:val="center"/>
      </w:pPr>
      <w:r>
        <w:rPr>
          <w:b/>
        </w:rPr>
        <w:t>NGHỊ ĐỊNH</w:t>
      </w:r>
    </w:p>
    <w:p>
      <w:pPr>
        <w:jc w:val="both"/>
      </w:pPr>
      <w:r>
        <w:t>Ban hành Quy chế quản lý tài chính của công ty nhà nước và quản lý vốn nhà nước đầu tư vào doanh nghiệp khác</w:t>
      </w:r>
    </w:p>
    <w:p>
      <w:pPr>
        <w:jc w:val="both"/>
      </w:pPr>
      <w:r>
        <w:t>____________________</w:t>
      </w:r>
    </w:p>
    <w:p>
      <w:pPr>
        <w:jc w:val="both"/>
      </w:pPr>
      <w:r>
        <w:t>CHÍNH PHỦ</w:t>
      </w:r>
    </w:p>
    <w:p>
      <w:pPr>
        <w:jc w:val="both"/>
      </w:pPr>
      <w:r>
        <w:t>Căn cứ Luật Tổ chức Chính phủ ngày 25 tháng 12 năm 2001;</w:t>
      </w:r>
    </w:p>
    <w:p>
      <w:pPr>
        <w:jc w:val="both"/>
      </w:pPr>
      <w:r>
        <w:t>Căn cứ Luật Doanh nghiệp nhà nước năm 2003;</w:t>
      </w:r>
    </w:p>
    <w:p>
      <w:pPr>
        <w:jc w:val="both"/>
      </w:pPr>
      <w:r>
        <w:t>Xét đề nghị của Bộ trưởng Bộ Tài chính ,</w:t>
      </w:r>
    </w:p>
    <w:p>
      <w:pPr>
        <w:jc w:val="center"/>
      </w:pPr>
      <w:r>
        <w:rPr>
          <w:b/>
        </w:rPr>
        <w:t>NGHỊ ĐỊNH:</w:t>
      </w:r>
    </w:p>
    <w:p>
      <w:pPr>
        <w:jc w:val="both"/>
      </w:pPr>
      <w:r>
        <w:rPr>
          <w:b/>
        </w:rPr>
        <w:t>Điều 1. Ban hành kèm theo Nghị định này Quy chế quản lý tài chính của công ty nhà nước và quản lý vốn nhà nước đầu tư vào doanh nghiệp khác.</w:t>
      </w:r>
    </w:p>
    <w:p>
      <w:pPr>
        <w:jc w:val="both"/>
      </w:pPr>
      <w:r>
        <w:rPr>
          <w:b/>
        </w:rPr>
        <w:t>Điều 2. Nghị định này có hiệu lực thi hành kể từ ngày 25 tháng 03 năm 2009 thay thế Nghị định số 199/2004/NĐ-CP ngày 03 tháng 12 năm 2004 của Chính phủ về việc ban hành Quy chế quản lý tài chính của công ty nhà nước và quản lý vốn nhà nước đầu tư vào doanh nghiệp khác.</w:t>
      </w:r>
    </w:p>
    <w:p>
      <w:pPr>
        <w:jc w:val="both"/>
      </w:pPr>
      <w:r>
        <w:rPr>
          <w:b/>
        </w:rPr>
        <w:t>Điều 3. Bộ trưởng Bộ Tài chính chịu trách nhiệm hướng dẫn, kiểm tra việc thi hành Quy chế quản lý tài chính của công ty nhà nước và quản lý vốn nhà nước đầu tư vào doanh nghiệp khác ban hành kèm theo Nghị định này.</w:t>
      </w:r>
    </w:p>
    <w:p>
      <w:pPr>
        <w:jc w:val="both"/>
      </w:pPr>
      <w:r>
        <w:rPr>
          <w:b/>
        </w:rPr>
        <w:t>Điều 4. Các Bộ trưởng, Thủ trưởng cơ quan ngang Bộ, Thủ trưởng cơ quan thuộc Chính phủ, Chủ tịch Ủy ban nhân dân tỉnh, thành phố trực thuộc Trung ương; Hội đồng quản trị, Tổng giám đốc, Giám đốc công ty nhà nước chịu trách nhiệm thi hành Nghị định này./.</w:t>
      </w:r>
    </w:p>
    <w:p>
      <w:r>
        <w:rPr>
          <w:i/>
        </w:rPr>
        <w:t>Nguồn: Cơ sở dữ liệu quốc gia về văn bản pháp luật (Bộ Tư pháp). VietSmart Legal, legal.giangpham.asia/van-ban/12342</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sz w:val="26"/>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