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45/2017/TT-BTC</w:t>
      </w:r>
    </w:p>
    <w:p>
      <w:pPr>
        <w:jc w:val="both"/>
      </w:pPr>
      <w:r>
        <w:t>Hà Nội, ngày 12 tháng 5 năm 2017</w:t>
      </w:r>
    </w:p>
    <w:p>
      <w:pPr>
        <w:jc w:val="center"/>
      </w:pPr>
      <w:r>
        <w:rPr>
          <w:b/>
        </w:rPr>
        <w:t>THÔNG TƯ</w:t>
      </w:r>
    </w:p>
    <w:p>
      <w:pPr>
        <w:jc w:val="both"/>
      </w:pPr>
      <w:r>
        <w:t>Quy định khung thù lao dịch vụ đấu giá tài sản theo quy định tại Luật đấu giá tài sản</w:t>
      </w:r>
    </w:p>
    <w:p>
      <w:pPr>
        <w:jc w:val="both"/>
      </w:pPr>
      <w:r>
        <w:t>Căn cứ Luật đấu giá tài sản số 01/2016/QH14 ngày 17 tháng 11 năm 2016;</w:t>
      </w:r>
    </w:p>
    <w:p>
      <w:pPr>
        <w:jc w:val="both"/>
      </w:pPr>
      <w:r>
        <w:t>Căn cứ Luật giá số 11/2012/QH12 ngày 20 tháng 6 năm 2012;</w:t>
      </w:r>
    </w:p>
    <w:p>
      <w:pPr>
        <w:jc w:val="both"/>
      </w:pPr>
      <w:r>
        <w:t>Căn cứ Nghị định số 177/2013/NĐ-CP ngày 14 tháng 11 năm 2013 và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215 /20 13 /NĐ-CP ngày 23 tháng 1 2 năm 20 13 của Chính phủ quy định chức năng, nhiệm vụ, quyền hạn và cơ cấu tổ chức của Bộ Tài chính;</w:t>
      </w:r>
    </w:p>
    <w:p>
      <w:pPr>
        <w:jc w:val="both"/>
      </w:pPr>
      <w:r>
        <w:t>Theo đề nghị của Cục trưởng Cục Q uản lý giá,</w:t>
      </w:r>
    </w:p>
    <w:p>
      <w:pPr>
        <w:jc w:val="both"/>
      </w:pPr>
      <w:r>
        <w:t>Bộ trưởng Bộ Tài chính ban hành Thông tư quy định khung thù lao dịch vụ đấu giá tài sản theo quy định tại Luật đ ấu giá tài sản .</w:t>
      </w:r>
    </w:p>
    <w:p>
      <w:pPr>
        <w:jc w:val="both"/>
      </w:pPr>
      <w:r>
        <w:rPr>
          <w:b/>
        </w:rPr>
        <w:t>Điều 1. Phạm vi điều chỉnh</w:t>
      </w:r>
    </w:p>
    <w:p>
      <w:pPr>
        <w:jc w:val="both"/>
      </w:pPr>
      <w:r>
        <w:t>Thông tư này quy định khung thù lao dịch vụ đấu giá tài sản theo quy định tại khoản 1 Điều 66 của Luật đấu giá tài sản.</w:t>
      </w:r>
    </w:p>
    <w:p>
      <w:pPr>
        <w:jc w:val="both"/>
      </w:pPr>
      <w:r>
        <w:rPr>
          <w:b/>
        </w:rPr>
        <w:t>Điều 2. Đối tượng áp dụng</w:t>
      </w:r>
    </w:p>
    <w:p>
      <w:pPr>
        <w:jc w:val="both"/>
      </w:pPr>
      <w:r>
        <w:t>Đối tượng áp dụng của Thông tư này bao gồm:</w:t>
      </w:r>
    </w:p>
    <w:p>
      <w:pPr>
        <w:jc w:val="both"/>
      </w:pPr>
      <w:r>
        <w:t>1. Người có tài sản đấu giá theo quy định tại khoản 5 Điều 5 của Luật đấu giá tài sản khi thực hiện đấu giá tài sản quy định tại khoản 1 Điều 4 của Luật đấu giá tài sản, trừ các trường hợp đấu giá tài sản do Hội đồng đấu giá tài sản được người có thẩm quyền thành lập thực hiện.</w:t>
      </w:r>
    </w:p>
    <w:p>
      <w:pPr>
        <w:jc w:val="both"/>
      </w:pPr>
      <w:r>
        <w:t>2. Tổ chức đấu giá tài sản theo quy định tại khoản 12 Điều 5 của Luật đấu giá tài sản.</w:t>
      </w:r>
    </w:p>
    <w:p>
      <w:pPr>
        <w:jc w:val="both"/>
      </w:pPr>
      <w:r>
        <w:t>3. Tổ chức, cá nhân khác có liên quan đến trường hợp đấu giá tài sản quy định tại khoản 1 Điều 4 của Luật đấu giá tài sản.</w:t>
      </w:r>
    </w:p>
    <w:p>
      <w:pPr>
        <w:jc w:val="both"/>
      </w:pPr>
      <w:r>
        <w:rPr>
          <w:b/>
        </w:rPr>
        <w:t>Điều 3. Khung thù lao dịch vụ đấu giá tài sản</w:t>
      </w:r>
    </w:p>
    <w:p>
      <w:pPr>
        <w:jc w:val="both"/>
      </w:pPr>
      <w:r>
        <w:t>1. Khung thù lao dịch vụ đấu giá tài sản cho một Hợp đồng dịch vụ đấu giá tài sản trong trường hợp đấu giá thành được quy định như sau:</w:t>
      </w:r>
    </w:p>
    <w:p>
      <w:pPr>
        <w:jc w:val="both"/>
      </w:pPr>
      <w:r>
        <w:t>a) Mức thù lao tối thiểu: 1.000.000 đồng/01 Hợp đồng (Một triệu đồng/một Hợp đồng);</w:t>
      </w:r>
    </w:p>
    <w:p>
      <w:pPr>
        <w:jc w:val="both"/>
      </w:pPr>
      <w:r>
        <w:t>b) Mức thù lao tối đa tương ứng từng khung giá trị tài sản theo giá khởi điểm được quy định tại Phụ lục ban hành kèm theo Thông tư này nhưng không vượt quá 300.000.000 đồng/01 Hợp đồng (Ba trăm triệu đồng/một Hợp đồng).</w:t>
      </w:r>
    </w:p>
    <w:p>
      <w:pPr>
        <w:jc w:val="both"/>
      </w:pPr>
      <w:r>
        <w:t>2. Thù lao dịch vụ đấu giá tài sản quy định tại khoản 1 Điều này chưa bao gồm thuế giá trị gia tăng nhưng bao gồm các chi phí hợp lý, hợp lệ mà người có tài sản đấu giá trả cho tổ chức đấu giá để thực hiện đấu giá tài sản theo quy định.</w:t>
      </w:r>
    </w:p>
    <w:p>
      <w:pPr>
        <w:jc w:val="both"/>
      </w:pPr>
      <w:r>
        <w:t>3. Trường hợp đấu giá tài sản không thành thì người có tài sản đấu giá thanh toán cho tổ chức đấu giá tài sản các chi phí thực tế hợp lý, hợp lệ đã được hai bên thỏa thuận trong Hợp đồng dịch vụ đấu giá tài sản theo đúng quy định tại khoản 2 Điều 66 Luật đấu giá tài sản nhưng tối đa không vượt mức thù lao dịch vụ đấu giá tài sản trong trường hợp đấu giá thành.</w:t>
      </w:r>
    </w:p>
    <w:p>
      <w:pPr>
        <w:jc w:val="both"/>
      </w:pPr>
      <w:r>
        <w:t>4. Việc xác định thù lao dịch vụ đấu giá, chi phí đấu giá tài sản cụ thể cho từng Hợp đồng dịch vụ đấu giá tài sản do người có tài sản đấu giá và tổ chức đấu giá tài sản thỏa thuận trong Hợp đồng dịch vụ đấu giá tài sản trên cơ sở kết quả lựa chọn tổ chức đấu giá và quy định về thù lao dịch vụ đấu giá tại Luật đấu giá tài sản nhưng không cao hơn mức tối đa và không thấp hơn mức tối thiểu của khung thù lao quy định tại khoản 1 Điều này.</w:t>
      </w:r>
    </w:p>
    <w:p>
      <w:pPr>
        <w:jc w:val="both"/>
      </w:pPr>
      <w:r>
        <w:t>5. Trong thời hạn 20 ngày làm việc kể từ ngày kết thúc cuộc đấu giá thành hoặc đấu giá không thành, người có tài sản đấu giá thanh toán cho tổ chức đấu giá thù lao dịch vụ đấu giá tài sản hoặc các chi phí niêm yết, thông báo công khai, chi phí thực tế hợp lý khác quy định tại khoản 2 Điều 66 Luật đấu giá tài sản; trừ trường hợp các bên có thoả thuận hoặc pháp luật có quy định khác.</w:t>
      </w:r>
    </w:p>
    <w:p>
      <w:pPr>
        <w:jc w:val="both"/>
      </w:pPr>
      <w:r>
        <w:rPr>
          <w:b/>
        </w:rPr>
        <w:t>Điều 4. Quản lý và sử dụng thù lao dịch vụ đấu giá tài sản</w:t>
      </w:r>
    </w:p>
    <w:p>
      <w:pPr>
        <w:jc w:val="both"/>
      </w:pPr>
      <w:r>
        <w:t>1. Việc quản lý, sử dụng thù lao dịch vụ đấu giá, chi phí đấu giá tài sản, chi phí dịch vụ và các khoản thu khác của tổ chức đấu giá được quy định tại Điều 68 của Luật đấu giá tài sản.</w:t>
      </w:r>
    </w:p>
    <w:p>
      <w:pPr>
        <w:jc w:val="both"/>
      </w:pPr>
      <w:r>
        <w:t>2. Các tổ chức đấu giá phải thực hiện niêm yết thù lao dịch vụ đấu giá tài sản, công khai thù lao dịch vụ đấu giá tài sản theo từng địa phương nơi tổ chức đấu giá; chấp hành theo quy định của pháp luật về giá, pháp luật về đấu giá tài sản và văn bản pháp luật hướng dẫn có liên quan.</w:t>
      </w:r>
    </w:p>
    <w:p>
      <w:pPr>
        <w:jc w:val="both"/>
      </w:pPr>
      <w:r>
        <w:t>3. Tổ chức đấu giá tài sản sử dụng hóa đơn cung ứng dịch vụ theo quy định tại Nghị định số 51/2010/NĐ-CP ngày 14 tháng 5 năm 2010 của Chính phủ quy định về hóa đơn bán hàng hóa, cung ứng dịch vụ; Nghị định số 04/2014/NĐ-CP ngày 17 tháng 01 năm 2014 của Chính phủ sửa đổi, bổ sung một số điều của Nghị định số 51/2010/NĐ-CP ngày 14 tháng 5 năm 2010 của Chính phủ quy định về hóa đơn bán hàng hóa, cung ứng dịch vụ;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hóa, cung ứng dịch vụ và văn bản thay thế hoặc văn bản đã được sửa đổi, bổ sung (nếu có).</w:t>
      </w:r>
    </w:p>
    <w:p>
      <w:pPr>
        <w:jc w:val="both"/>
      </w:pPr>
      <w:r>
        <w:rPr>
          <w:b/>
        </w:rPr>
        <w:t>Điều 5. Tổ chức thực hiện</w:t>
      </w:r>
    </w:p>
    <w:p>
      <w:pPr>
        <w:jc w:val="both"/>
      </w:pPr>
      <w:r>
        <w:t>1. Thông tư này có hiệu lực thi hành kể từ ngày 01 tháng 07 năm 2017; Thông tư này thay thế Thông tư số 335/2016/TT-BTC ngày 27 tháng 12 năm 2016 của Bộ trưởng Bộ Tài chính quy định mức thu, chế độ thu, nộp, quản lý và sử dụng phí đấu giá tài sản, phí tham gia đấu giá tài sản; bãi bỏ Điều 13 Thông tư số 48/2012/TT-BTC ngày 16 tháng 3 năm 2012 của Bộ trưởng Bộ Tài chính hướng dẫn việc xác định giá khởi điểm và chế độ tài chính trong hoạt động đấu giá quyền sử dụng đất để giao đất có thu tiền sử dụng đất hoặc cho thuê đất.</w:t>
      </w:r>
    </w:p>
    <w:p>
      <w:pPr>
        <w:jc w:val="both"/>
      </w:pPr>
      <w:r>
        <w:t>2.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legal.giangpham.asia/van-ban/122436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