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113/2009/TT-BTC</w:t>
      </w:r>
    </w:p>
    <w:p>
      <w:pPr>
        <w:jc w:val="both"/>
      </w:pPr>
      <w:r>
        <w:t>Ngày 2 tháng 6 năm 2009</w:t>
      </w:r>
    </w:p>
    <w:p>
      <w:pPr>
        <w:jc w:val="center"/>
      </w:pPr>
      <w:r>
        <w:rPr>
          <w:b/>
        </w:rPr>
        <w:t>THÔNG TƯ</w:t>
      </w:r>
    </w:p>
    <w:p>
      <w:pPr>
        <w:jc w:val="both"/>
      </w:pPr>
      <w:r>
        <w:t>Sửa đổi, bổ sung Thông tư số 66/2009/TT-BTC ngày 30/3/2009 về quy định</w:t>
      </w:r>
    </w:p>
    <w:p>
      <w:pPr>
        <w:jc w:val="both"/>
      </w:pPr>
      <w:r>
        <w:t>chế độ thu, nộp, quản lý và sử dụng lệ phí cấp hộ chiếu, thị thực, giấy tờ về</w:t>
      </w:r>
    </w:p>
    <w:p>
      <w:pPr>
        <w:jc w:val="both"/>
      </w:pPr>
      <w:r>
        <w:t>nhập cảnh, xuất cảnh, quá cảnh và cư trú tại Việt Nam</w:t>
      </w:r>
    </w:p>
    <w:p>
      <w:pPr>
        <w:jc w:val="both"/>
      </w:pPr>
      <w:r>
        <w:t>___________________________</w:t>
      </w:r>
    </w:p>
    <w:p>
      <w:pPr>
        <w:jc w:val="both"/>
      </w:pPr>
      <w:r>
        <w:t>Căn cứ Pháp lệnh phí và lệ phí;</w:t>
      </w:r>
    </w:p>
    <w:p>
      <w:pPr>
        <w:jc w:val="both"/>
      </w:pPr>
      <w:r>
        <w:t>Căn cứ Nghị định 107/2007/NĐ-CP ngày 25/6/2007 của Chính phủ quy định chi tiết một số điều của Luật Cư trú;</w:t>
      </w:r>
    </w:p>
    <w:p>
      <w:pPr>
        <w:jc w:val="both"/>
      </w:pPr>
      <w:r>
        <w:t>Căn cứ Nghị định số 118/2008/NĐ-CP ngày 27/11/2008 quy định về chức năng, nhiệm vụ, quyền hạn và cơ cấu tổ chức của Bộ Tài chính;</w:t>
      </w:r>
    </w:p>
    <w:p>
      <w:pPr>
        <w:jc w:val="both"/>
      </w:pPr>
      <w:r>
        <w:t>Căn cứ Quyết định số 36/2009/QĐ-TTg ngày 05/3/2009 của Thủ tướng Chính phủ về việc bãi bỏ Quyết định số 875/TTg ngày 21/11/1996 của Thủ tướng Chính phủ về việc giải quyết cho công dân Việt Nam định cư ở nước ngoài hồi hương về Việt Nam;</w:t>
      </w:r>
    </w:p>
    <w:p>
      <w:pPr>
        <w:jc w:val="both"/>
      </w:pPr>
      <w:r>
        <w:t>Bộ Tài chính hướng dẫn như sau:</w:t>
      </w:r>
    </w:p>
    <w:p>
      <w:pPr>
        <w:jc w:val="both"/>
      </w:pPr>
      <w:r>
        <w:rPr>
          <w:b/>
        </w:rPr>
        <w:t>Điều 1. Bãi bỏ khoản lệ phí cấp giấy thông hành hồi hương, giấy chứng nhận hồi hương quy định tại điểm 9 Phụ lục II - Mức thu đối với người nước ngoài và người Việt Nam định cư ở nước ngoài ban hành kèm theo Thông tư số 66/2009/TT-BTC ngày 30/3/2009 của Bộ Tài chính quy định chế độ thu, nộp, quản lý và sử dụng lệ phí cấp hộ chiếu, thị thực, giấy tờ về nhập cảnh, xuất cảnh, quá cảnh và cư trú tại Việt Nam.</w:t>
      </w:r>
    </w:p>
    <w:p>
      <w:pPr>
        <w:jc w:val="both"/>
      </w:pPr>
      <w:r>
        <w:rPr>
          <w:b/>
        </w:rPr>
        <w:t>Điều 2. Thông tư này có hiệu lực thi hành sau 45 ngày, kể từ ngày ký. Trong quá trình thực hiện nếu có vướng mắc, đề nghị các cơ quan phản ánh về Bộ Tài chính để xem xét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