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246/2016/TT-BTC</w:t>
      </w:r>
    </w:p>
    <w:p>
      <w:pPr>
        <w:jc w:val="both"/>
      </w:pPr>
      <w:r>
        <w:t>Hà Nội, ngày 11 tháng 11 năm 2016</w:t>
      </w:r>
    </w:p>
    <w:p>
      <w:pPr>
        <w:jc w:val="center"/>
      </w:pPr>
      <w:r>
        <w:rPr>
          <w:b/>
        </w:rPr>
        <w:t>THÔNG TƯ</w:t>
      </w:r>
    </w:p>
    <w:p>
      <w:pPr>
        <w:jc w:val="both"/>
      </w:pPr>
      <w:r>
        <w:t>Quy định mức thu, chế độ thu, nộp, quản lý và sử dụng phí kiểm tra, đánh giá, cấp giấy chứng nhận quốc tế về an ninh tàu biển</w:t>
      </w:r>
    </w:p>
    <w:p>
      <w:pPr>
        <w:jc w:val="both"/>
      </w:pPr>
      <w:r>
        <w:t>Căn cứ Luật phí và lệ phí ngày 25 tháng 11 năm 2015;</w:t>
      </w:r>
    </w:p>
    <w:p>
      <w:pPr>
        <w:jc w:val="both"/>
      </w:pPr>
      <w:r>
        <w:t>Căn cứ Luật ngân sách nhà nước ngày 25 tháng 6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kiểm tra, đánh giá, cấp giấy chứng nhận quốc tế về an ninh tàu biển.</w:t>
      </w:r>
    </w:p>
    <w:p>
      <w:pPr>
        <w:jc w:val="both"/>
      </w:pPr>
      <w:r>
        <w:rPr>
          <w:b/>
        </w:rPr>
        <w:t>Điều 1. Phạm vi điều chỉnh và đối tượng áp dụng</w:t>
      </w:r>
    </w:p>
    <w:p>
      <w:pPr>
        <w:jc w:val="both"/>
      </w:pPr>
      <w:r>
        <w:t>1. Thông tư này quy định mức thu, chế độ thu, nộp, quản lý và sử dụng phí kiểm tra, đánh giá, cấp giấy chứng nhận quốc tế về an ninh tàu biển theo Bộ luật Quốc tế về An ninh Tàu biển và Bến cảng (Bộ luật ISPS).</w:t>
      </w:r>
    </w:p>
    <w:p>
      <w:pPr>
        <w:jc w:val="both"/>
      </w:pPr>
      <w:r>
        <w:t>2. Thông tư này áp dụng đối với cơ quan, tổ chức, cá nhân liên quan đến kiểm tra, đánh giá, cấp giấy chứng nhận quốc tế về an ninh tàu biển và thu phí.</w:t>
      </w:r>
    </w:p>
    <w:p>
      <w:pPr>
        <w:jc w:val="both"/>
      </w:pPr>
      <w:r>
        <w:rPr>
          <w:b/>
        </w:rPr>
        <w:t>Điều 2. Tổ chức thu và người nộp phí</w:t>
      </w:r>
    </w:p>
    <w:p>
      <w:pPr>
        <w:jc w:val="both"/>
      </w:pPr>
      <w:r>
        <w:t>1. Người nộp phí gồm các tổ chức, cá nhân khi được Cục Đăng kiểm Việt Nam thực hiện các công việc kiểm tra, đánh giá, cấp giấy chứng nhận quốc tế về an ninh tàu biển và giàn di động.</w:t>
      </w:r>
    </w:p>
    <w:p>
      <w:pPr>
        <w:jc w:val="both"/>
      </w:pPr>
      <w:r>
        <w:t>2. Cục Đăng kiểm Việt Nam tổ chức thu, nộp, quản lý và sử dụng các khoản phí quy định tại Thông tư này.</w:t>
      </w:r>
    </w:p>
    <w:p>
      <w:pPr>
        <w:jc w:val="both"/>
      </w:pPr>
      <w:r>
        <w:rPr>
          <w:b/>
        </w:rPr>
        <w:t>Điều 3. Giải thích từ ngữ</w:t>
      </w:r>
    </w:p>
    <w:p>
      <w:pPr>
        <w:jc w:val="both"/>
      </w:pPr>
      <w:r>
        <w:t>1. Tàu nhóm I là tàu biển hoạt động tuyến quốc tế có tổng dung tích từ 500 GT trở lên và không phải là tàu thuộc nhóm loại II.</w:t>
      </w:r>
    </w:p>
    <w:p>
      <w:pPr>
        <w:jc w:val="both"/>
      </w:pPr>
      <w:r>
        <w:t>2. Tàu nhóm II là tàu chở khách, tàu chở dầu, tàu chở hóa chất, tàu chở khí hóa lỏng, giàn di động hoạt động tuyến quốc tế.</w:t>
      </w:r>
    </w:p>
    <w:p>
      <w:pPr>
        <w:jc w:val="both"/>
      </w:pPr>
      <w:r>
        <w:rPr>
          <w:b/>
        </w:rPr>
        <w:t>Điều 4. Mức thu phí</w:t>
      </w:r>
    </w:p>
    <w:p>
      <w:pPr>
        <w:jc w:val="both"/>
      </w:pPr>
      <w:r>
        <w:t>Biểu mức thu phí kiểm tra, đánh giá, cấp giấy chứng nhận quốc tế về an ninh tàu biển theo Bộ luật ISPS như sau:</w:t>
      </w:r>
    </w:p>
    <w:p>
      <w:pPr>
        <w:jc w:val="both"/>
      </w:pPr>
      <w:r>
        <w:t>Đơn vị tính: Đồng/lần</w:t>
      </w:r>
    </w:p>
    <w:p>
      <w:pPr>
        <w:jc w:val="both"/>
      </w:pPr>
      <w:r>
        <w:t>Số TT</w:t>
      </w:r>
    </w:p>
    <w:p>
      <w:pPr>
        <w:jc w:val="both"/>
      </w:pPr>
      <w:r>
        <w:t>Loại hình đánh giá</w:t>
      </w:r>
    </w:p>
    <w:p>
      <w:pPr>
        <w:jc w:val="both"/>
      </w:pPr>
      <w:r>
        <w:t>Mức phí</w:t>
      </w:r>
    </w:p>
    <w:p>
      <w:pPr>
        <w:jc w:val="both"/>
      </w:pPr>
      <w:r>
        <w:t>Tàu nhóm I</w:t>
      </w:r>
    </w:p>
    <w:p>
      <w:pPr>
        <w:jc w:val="both"/>
      </w:pPr>
      <w:r>
        <w:t>Tàu nhóm II</w:t>
      </w:r>
    </w:p>
    <w:p>
      <w:pPr>
        <w:jc w:val="both"/>
      </w:pPr>
      <w:r>
        <w:t>1</w:t>
      </w:r>
    </w:p>
    <w:p>
      <w:pPr>
        <w:jc w:val="both"/>
      </w:pPr>
      <w:r>
        <w:t>Phê duyệt kế hoạch an ninh tàu biển</w:t>
      </w:r>
    </w:p>
    <w:p>
      <w:pPr>
        <w:jc w:val="both"/>
      </w:pPr>
      <w:r>
        <w:t>5.000.000</w:t>
      </w:r>
    </w:p>
    <w:p>
      <w:pPr>
        <w:jc w:val="both"/>
      </w:pPr>
      <w:r>
        <w:t>5.000.000</w:t>
      </w:r>
    </w:p>
    <w:p>
      <w:pPr>
        <w:jc w:val="both"/>
      </w:pPr>
      <w:r>
        <w:t>2</w:t>
      </w:r>
    </w:p>
    <w:p>
      <w:pPr>
        <w:jc w:val="both"/>
      </w:pPr>
      <w:r>
        <w:t>Phê duyệt kế hoạch an ninh tàu biển khi có bổ sung, sửa đổi</w:t>
      </w:r>
    </w:p>
    <w:p>
      <w:pPr>
        <w:jc w:val="both"/>
      </w:pPr>
      <w:r>
        <w:t>2.000.000</w:t>
      </w:r>
    </w:p>
    <w:p>
      <w:pPr>
        <w:jc w:val="both"/>
      </w:pPr>
      <w:r>
        <w:t>2.000.000</w:t>
      </w:r>
    </w:p>
    <w:p>
      <w:pPr>
        <w:jc w:val="both"/>
      </w:pPr>
      <w:r>
        <w:t>3</w:t>
      </w:r>
    </w:p>
    <w:p>
      <w:pPr>
        <w:jc w:val="both"/>
      </w:pPr>
      <w:r>
        <w:t>Đánh giá lần đầu để cấp giấy chứng nhận quốc tế về an ninh tàu biển</w:t>
      </w:r>
    </w:p>
    <w:p>
      <w:pPr>
        <w:jc w:val="both"/>
      </w:pPr>
      <w:r>
        <w:t>10.000.000</w:t>
      </w:r>
    </w:p>
    <w:p>
      <w:pPr>
        <w:jc w:val="both"/>
      </w:pPr>
      <w:r>
        <w:t>12.000.000</w:t>
      </w:r>
    </w:p>
    <w:p>
      <w:pPr>
        <w:jc w:val="both"/>
      </w:pPr>
      <w:r>
        <w:t>4</w:t>
      </w:r>
    </w:p>
    <w:p>
      <w:pPr>
        <w:jc w:val="both"/>
      </w:pPr>
      <w:r>
        <w:t>Đánh giá trung gian để xác nhận vào giấy chứng nhận quốc tế về an ninh tàu biển</w:t>
      </w:r>
    </w:p>
    <w:p>
      <w:pPr>
        <w:jc w:val="both"/>
      </w:pPr>
      <w:r>
        <w:t>10.000.000</w:t>
      </w:r>
    </w:p>
    <w:p>
      <w:pPr>
        <w:jc w:val="both"/>
      </w:pPr>
      <w:r>
        <w:t>12.000.000</w:t>
      </w:r>
    </w:p>
    <w:p>
      <w:pPr>
        <w:jc w:val="both"/>
      </w:pPr>
      <w:r>
        <w:t>5</w:t>
      </w:r>
    </w:p>
    <w:p>
      <w:pPr>
        <w:jc w:val="both"/>
      </w:pPr>
      <w:r>
        <w:t>Đánh giá cấp mới giấy chứng nhận quốc tế về an ninh tàu biển</w:t>
      </w:r>
    </w:p>
    <w:p>
      <w:pPr>
        <w:jc w:val="both"/>
      </w:pPr>
      <w:r>
        <w:t>10.000.000</w:t>
      </w:r>
    </w:p>
    <w:p>
      <w:pPr>
        <w:jc w:val="both"/>
      </w:pPr>
      <w:r>
        <w:t>12.000.000</w:t>
      </w:r>
    </w:p>
    <w:p>
      <w:pPr>
        <w:jc w:val="both"/>
      </w:pPr>
      <w:r>
        <w:t>6</w:t>
      </w:r>
    </w:p>
    <w:p>
      <w:pPr>
        <w:jc w:val="both"/>
      </w:pPr>
      <w:r>
        <w:t>Đánh giá sơ bộ để cấp giấy chứng nhận quốc tế về an ninh tàu biển tạm thời</w:t>
      </w:r>
    </w:p>
    <w:p>
      <w:pPr>
        <w:jc w:val="both"/>
      </w:pPr>
      <w:r>
        <w:t>9.000.000</w:t>
      </w:r>
    </w:p>
    <w:p>
      <w:pPr>
        <w:jc w:val="both"/>
      </w:pPr>
      <w:r>
        <w:t>10.500.000</w:t>
      </w:r>
    </w:p>
    <w:p>
      <w:pPr>
        <w:jc w:val="both"/>
      </w:pPr>
      <w:r>
        <w:t>7</w:t>
      </w:r>
    </w:p>
    <w:p>
      <w:pPr>
        <w:jc w:val="both"/>
      </w:pPr>
      <w:r>
        <w:t>Đánh giá bất thường để phục hồi, gia hạn, duy trì giấy chứng nhận quốc tế về an ninh tàu biển</w:t>
      </w:r>
    </w:p>
    <w:p>
      <w:pPr>
        <w:jc w:val="both"/>
      </w:pPr>
      <w:r>
        <w:t>9.000.000</w:t>
      </w:r>
    </w:p>
    <w:p>
      <w:pPr>
        <w:jc w:val="both"/>
      </w:pPr>
      <w:r>
        <w:t>10.500.000</w:t>
      </w:r>
    </w:p>
    <w:p>
      <w:pPr>
        <w:jc w:val="both"/>
      </w:pPr>
      <w:r>
        <w:t>Mức thu quy định tại Biểu này chưa bao gồm chi công tác phí theo quy định chi trả cho cán bộ trực tiếp thực hiện kiểm tra, đánh giá an ninh tàu biển.</w:t>
      </w:r>
    </w:p>
    <w:p>
      <w:pPr>
        <w:jc w:val="both"/>
      </w:pPr>
      <w:r>
        <w:rPr>
          <w:b/>
        </w:rPr>
        <w:t>Điều 5. Kê khai, thu, nộp phí của tổ chức thu phí</w:t>
      </w:r>
    </w:p>
    <w:p>
      <w:pPr>
        <w:jc w:val="both"/>
      </w:pPr>
      <w:r>
        <w:t>1. Chậm nhất là ngày 05 hàng tháng, tổ chức thu phí phải gửi số tiền phí đã thu của tháng trước vào tài khoản phí chờ nộp ngân sách mở tại Kho bạc nhà nước.</w:t>
      </w:r>
    </w:p>
    <w:p>
      <w:pPr>
        <w:jc w:val="both"/>
      </w:pPr>
      <w:r>
        <w:t>2. Tổ chức thu phí thực hiện kê khai phí thu được theo tháng, quyết toán năm theo hướng dẫn tại khoản 3 Điều 19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rPr>
          <w:b/>
        </w:rPr>
        <w:t>Điều 6. Quản lý và sử dụng phí</w:t>
      </w:r>
    </w:p>
    <w:p>
      <w:pPr>
        <w:jc w:val="both"/>
      </w:pPr>
      <w:r>
        <w:t>1. Tổ chức thu phí được để lại 75% số tiền phí thu được, để chi cho hoạt động cung cấp dịch vụ, thu phí. Số tiền được để lại được quản lý và sử dụng theo quy định tại Điều 5 Nghị định số 120/2016/NĐ-CP ngày 23 tháng 8 năm 2016 của Chính phủ quy định chi tiết và hướng dẫn thi hành một số điều của Luật phí và lệ phí.</w:t>
      </w:r>
    </w:p>
    <w:p>
      <w:pPr>
        <w:jc w:val="both"/>
      </w:pPr>
      <w:r>
        <w:t>2. Tổ chức thu phí thực hiện nộp 25% tiền phí thu được vào ngân sách nhà nước theo Chương, mục, tiểu mục của Mục lục ngân sách nhà nước. Thời điểm nộp phí theo hướng dẫn tại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rPr>
          <w:b/>
        </w:rPr>
        <w:t>Điều 7. Tổ chức thực hiện và điều khoản thi hành</w:t>
      </w:r>
    </w:p>
    <w:p>
      <w:pPr>
        <w:jc w:val="both"/>
      </w:pPr>
      <w:r>
        <w:t>1. Thông tư này có hiệu lực kể từ ngày 01 tháng 01 năm 2017 và thay thế Thông tư số 165/2013/TT-BTC ngày 15 tháng 11 năm 2013 của Bộ trưởng Bộ Tài chính quy định mức thu, chế độ thu, nộp, quản lý, sử dụng phí trong lĩnh vực đăng kiểm tàu biển, công trình biển; phí đánh giá, chứng nhận hệ thống quản lý an toàn, an ninh tàu biển, công trình biển và phí phê duyệt, kiểm tra, đánh giá và chứng nhận lao động hàng hải thuộc phạm vi giám sát của Cục Đăng kiểm Việt Nam.</w:t>
      </w:r>
    </w:p>
    <w:p>
      <w:pPr>
        <w:jc w:val="both"/>
      </w:pPr>
      <w:r>
        <w:t>2. Các nội dung khác liên quan đến thu, nộp, quản lý, sử dụng, chứng từ thu, công khai chế độ thu phí kiểm tra, đánh giá, cấp giấy chứng nhận quốc tế về an ninh tàu biển không đề cập tại Thông tư này được thực hiện theo quy định tại Luật phí và lệ phí; Nghị định số 120/2016/NĐ-CP ngày 23 tháng 8 năm 2016 của Chính phủ quy định chi tiết và hướng dẫn thi hành một số điều của Luật phí và lệ phí; Thông tư số 156/2013/TT-BTC ngày 06 tháng 11 năm 2013 của Bộ Tài chính hướng dẫn thi hành một số điều của Luật quản lý thuế; Luật sửa đổi, bổ sung một số điều của Luật quản lý thuế và Nghị định số 83/2013/NĐ-CP ngày 22 tháng 7 năm 2013 của Chính phủ; Thông tư số 153/2012/TT-BTC ngày 17 tháng 9 năm 2012 của Bộ trưởng Bộ Tài chính hướng dẫn việc in, phát hành, quản lý và sử dụng các loại chứng từ thu tiền phí, lệ phí thuộc ngân sách nhà nước và các văn bản sửa đổi, bổ sung hoặc thay thế (nếu có).</w:t>
      </w:r>
    </w:p>
    <w:p>
      <w:pPr>
        <w:jc w:val="both"/>
      </w:pPr>
      <w:r>
        <w:t>3. Trong quá trình thực hiện nếu có vướng mắc, đề nghị cơ quan, tổ chức, cá nhân phản ánh kịp thời về Bộ Tài chính để nghiên cứu, hướng dẫn sửa đổi, bổ sung cho phù hợp./.</w:t>
      </w:r>
    </w:p>
    <w:p>
      <w:pPr>
        <w:jc w:val="both"/>
      </w:pPr>
      <w:r>
        <w:t>KT. BỘ TRƯỞNG</w:t>
      </w:r>
    </w:p>
    <w:p>
      <w:pPr>
        <w:jc w:val="both"/>
      </w:pPr>
      <w:r>
        <w:t>THỨ TRƯỞNG</w:t>
      </w:r>
    </w:p>
    <w:p>
      <w:pPr>
        <w:jc w:val="both"/>
      </w:pPr>
      <w:r>
        <w:t>Vũ Thị Mai</w:t>
      </w:r>
    </w:p>
    <w:p>
      <w:r>
        <w:rPr>
          <w:i/>
        </w:rPr>
        <w:t>Nguồn: Cơ sở dữ liệu quốc gia về văn bản pháp luật (Bộ Tư pháp). VietSmart Legal, legal.giangpham.asia/van-ban/119187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