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226/2016/TT-BTC</w:t>
      </w:r>
    </w:p>
    <w:p>
      <w:pPr>
        <w:jc w:val="both"/>
      </w:pPr>
      <w:r>
        <w:t>Hà Nội, ngày 11 tháng 11 năm 2016</w:t>
      </w:r>
    </w:p>
    <w:p>
      <w:pPr>
        <w:jc w:val="center"/>
      </w:pPr>
      <w:r>
        <w:rPr>
          <w:b/>
        </w:rPr>
        <w:t>THÔNG TƯ</w:t>
      </w:r>
    </w:p>
    <w:p>
      <w:pPr>
        <w:jc w:val="both"/>
      </w:pPr>
      <w:r>
        <w:t>Quy định mức thu, chế độ thu, nộp, quản lý và sử dụng phí chứng thực</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chứng thực.</w:t>
      </w:r>
    </w:p>
    <w:p>
      <w:pPr>
        <w:jc w:val="both"/>
      </w:pPr>
      <w:r>
        <w:rPr>
          <w:b/>
        </w:rPr>
        <w:t>Điều 1. Phạm vi điều chỉnh, đối tượng áp dụng</w:t>
      </w:r>
    </w:p>
    <w:p>
      <w:pPr>
        <w:jc w:val="both"/>
      </w:pPr>
      <w:r>
        <w:t>1. Thông tư này quy định mức thu, chế độ thu, nộp, quản lý và sử dụng phí chứng thực.</w:t>
      </w:r>
    </w:p>
    <w:p>
      <w:pPr>
        <w:jc w:val="both"/>
      </w:pPr>
      <w:r>
        <w:t>2. Thông tư này áp dụng đối với người nộp, tổ chức thu phí chứng thực và các tổ chức, cá nhân khác có liên quan đến việc thu, nộp, quản lý và sử dụng phí chứng thực.</w:t>
      </w:r>
    </w:p>
    <w:p>
      <w:pPr>
        <w:jc w:val="both"/>
      </w:pPr>
      <w:r>
        <w:rPr>
          <w:b/>
        </w:rPr>
        <w:t>Điều 2. Người nộp phí</w:t>
      </w:r>
    </w:p>
    <w:p>
      <w:pPr>
        <w:jc w:val="both"/>
      </w:pPr>
      <w:r>
        <w:t>Tổ chức, cá nhân yêu cầu chứng thực bản sao từ bản chính, chứng thực chữ ký, chứng thực hợp đồng, giao dịch tại Ủy ban nhân dân xã, phường, thị trấn và Phòng Tư pháp thuộc Ủy ban nhân dân huyện, quận, thị xã, thành phố thuộc tỉnh thì phải nộp phí chứng thực theo quy định tại Điều 4 Thông tư này.</w:t>
      </w:r>
    </w:p>
    <w:p>
      <w:pPr>
        <w:jc w:val="both"/>
      </w:pPr>
      <w:r>
        <w:rPr>
          <w:b/>
        </w:rPr>
        <w:t>Điều 3. Tổ chức thu phí</w:t>
      </w:r>
    </w:p>
    <w:p>
      <w:pPr>
        <w:jc w:val="both"/>
      </w:pPr>
      <w:r>
        <w:t>1. Ủy ban nhân dân cấp xã.</w:t>
      </w:r>
    </w:p>
    <w:p>
      <w:pPr>
        <w:jc w:val="both"/>
      </w:pPr>
      <w:r>
        <w:t>2. Phòng Tư pháp thuộc Ủy ban nhân dân cấp huyện.</w:t>
      </w:r>
    </w:p>
    <w:p>
      <w:pPr>
        <w:jc w:val="both"/>
      </w:pPr>
      <w:r>
        <w:rPr>
          <w:b/>
        </w:rPr>
        <w:t>Điều 4. Mức thu phí</w:t>
      </w:r>
    </w:p>
    <w:p>
      <w:pPr>
        <w:jc w:val="both"/>
      </w:pPr>
      <w:r>
        <w:t>Mức thu phí chứng thực quy định như sau:</w:t>
      </w:r>
    </w:p>
    <w:p>
      <w:pPr>
        <w:jc w:val="both"/>
      </w:pPr>
      <w:r>
        <w:t>STT</w:t>
      </w:r>
    </w:p>
    <w:p>
      <w:pPr>
        <w:jc w:val="both"/>
      </w:pPr>
      <w:r>
        <w:t>N ội dung thu</w:t>
      </w:r>
    </w:p>
    <w:p>
      <w:pPr>
        <w:jc w:val="both"/>
      </w:pPr>
      <w:r>
        <w:t>M ức thu</w:t>
      </w:r>
    </w:p>
    <w:p>
      <w:pPr>
        <w:jc w:val="both"/>
      </w:pPr>
      <w:r>
        <w:t>1</w:t>
      </w:r>
    </w:p>
    <w:p>
      <w:pPr>
        <w:jc w:val="both"/>
      </w:pPr>
      <w:r>
        <w:t>Phí ch ứng thực bản sao từ bản chính</w:t>
      </w:r>
    </w:p>
    <w:p>
      <w:pPr>
        <w:jc w:val="both"/>
      </w:pPr>
      <w:r>
        <w:t>2.000 đ ồng/trang. Từ trang thứ ba trở lên thu 1.000 đồng/trang, nhưng mức thu tối đa không quá 200.000 đồng/bản. Trang là căn cứ để thu phí được tính theo trang của bản chính</w:t>
      </w:r>
    </w:p>
    <w:p>
      <w:pPr>
        <w:jc w:val="both"/>
      </w:pPr>
      <w:r>
        <w:t>2</w:t>
      </w:r>
    </w:p>
    <w:p>
      <w:pPr>
        <w:jc w:val="both"/>
      </w:pPr>
      <w:r>
        <w:t>Phí ch ứng thực chữ ký</w:t>
      </w:r>
    </w:p>
    <w:p>
      <w:pPr>
        <w:jc w:val="both"/>
      </w:pPr>
      <w:r>
        <w:t>10.000 đ ồng/trường hợp. Trường hợp được hiểu là một hoặc nhiều chữ ký trong cùng một giấy tờ, văn bản</w:t>
      </w:r>
    </w:p>
    <w:p>
      <w:pPr>
        <w:jc w:val="both"/>
      </w:pPr>
      <w:r>
        <w:t>3</w:t>
      </w:r>
    </w:p>
    <w:p>
      <w:pPr>
        <w:jc w:val="both"/>
      </w:pPr>
      <w:r>
        <w:t>Phí ch ứng thực hợp đồng, giao dịch:</w:t>
      </w:r>
    </w:p>
    <w:p>
      <w:pPr>
        <w:jc w:val="both"/>
      </w:pPr>
      <w:r>
        <w:t>a</w:t>
      </w:r>
    </w:p>
    <w:p>
      <w:pPr>
        <w:jc w:val="both"/>
      </w:pPr>
      <w:r>
        <w:t>Ch ứng thực hợp đồng, giao dịch</w:t>
      </w:r>
    </w:p>
    <w:p>
      <w:pPr>
        <w:jc w:val="both"/>
      </w:pPr>
      <w:r>
        <w:t>50.000 đ ồng/hợp đồng, giao dịch</w:t>
      </w:r>
    </w:p>
    <w:p>
      <w:pPr>
        <w:jc w:val="both"/>
      </w:pPr>
      <w:r>
        <w:t>b</w:t>
      </w:r>
    </w:p>
    <w:p>
      <w:pPr>
        <w:jc w:val="both"/>
      </w:pPr>
      <w:r>
        <w:t>Ch ứng thực việc sửa đổi, bổ sung, hủy bỏ hợp đồng, giao dịch</w:t>
      </w:r>
    </w:p>
    <w:p>
      <w:pPr>
        <w:jc w:val="both"/>
      </w:pPr>
      <w:r>
        <w:t>30.000 đ ồng/hợp đồng, giao dịch</w:t>
      </w:r>
    </w:p>
    <w:p>
      <w:pPr>
        <w:jc w:val="both"/>
      </w:pPr>
      <w:r>
        <w:t>c</w:t>
      </w:r>
    </w:p>
    <w:p>
      <w:pPr>
        <w:jc w:val="both"/>
      </w:pPr>
      <w:r>
        <w:t>S ửa lỗi sai sót trong hợp đồng, giao dịch đã được chứng thực</w:t>
      </w:r>
    </w:p>
    <w:p>
      <w:pPr>
        <w:jc w:val="both"/>
      </w:pPr>
      <w:r>
        <w:t>25.000 đồng/hợp đồng, giao dịch</w:t>
      </w:r>
    </w:p>
    <w:p>
      <w:pPr>
        <w:jc w:val="both"/>
      </w:pPr>
      <w:r>
        <w:rPr>
          <w:b/>
        </w:rPr>
        <w:t>Điều 5. Các đối tượng được miễn phí</w:t>
      </w:r>
    </w:p>
    <w:p>
      <w:pPr>
        <w:jc w:val="both"/>
      </w:pPr>
      <w:r>
        <w:t>Cá nhân, hộ gia đình vay vốn tại tổ chức tín dụng để phục vụ phát triển nông nghiệp, nông thôn theo quy định tại Nghị định số 55/2015/NĐ-CP ngày 09 tháng 6 năm 2015 của Chính phủ về chính sách tín dụng phục vụ phát triển nông nghiệp, nông thôn thì không phải nộp phí chứng thực hợp đồng thế chấp tài sản.</w:t>
      </w:r>
    </w:p>
    <w:p>
      <w:pPr>
        <w:jc w:val="both"/>
      </w:pPr>
      <w:r>
        <w:rPr>
          <w:b/>
        </w:rPr>
        <w:t>Điều 6. Kê khai, nộp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thực hiện kê khai, nộp số tiền phí thu được theo tháng, quyết toán năm theo hướng dẫn tại khoản 3 Điều 19,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7. Quản lý và sử dụng phí</w:t>
      </w:r>
    </w:p>
    <w:p>
      <w:pPr>
        <w:jc w:val="both"/>
      </w:pPr>
      <w:r>
        <w:t>1. Tổ chức thu phí nộp toàn bộ số tiền phí thu được vào ngân sách nhà nước trừ trường hợp quy định tại khoản 2 Điều này. Nguồn chi phí trang trải cho thực hiện công việc và thu phí do ngân sách nhà nước bố trí trong dự toán của tổ chức thu theo chế độ, định mức chi ngân sách nhà nước.</w:t>
      </w:r>
    </w:p>
    <w:p>
      <w:pPr>
        <w:jc w:val="both"/>
      </w:pPr>
      <w:r>
        <w:t>2. Trường hợp tổ chức thu phí là cơ quan nhà nước được khoán chi phí hoạt động từ nguồn thu phí theo quy định tại khoản 1 Điều 4 Nghị định số 120/2016/NĐ-CP ngày 23 tháng 8 năm 2016 của Chính phủ thì được trích lại 50% số tiền phí thu được để trang trải chi phí cho các nội dung chi theo quy định tại Điều 5 Nghị định số 120/2016/NĐ-CP ngày 23 tháng 8 năm 2016 của Chính phủ. Nộp 50% tiền phí thu được vào ngân sách nhà nước theo chương, tiểu mục của Mục lục ngân sách nhà nước hiện hành.</w:t>
      </w:r>
    </w:p>
    <w:p>
      <w:pPr>
        <w:jc w:val="both"/>
      </w:pPr>
      <w:r>
        <w:rPr>
          <w:b/>
        </w:rPr>
        <w:t>Điều 8. Tổ chức thực hiện</w:t>
      </w:r>
    </w:p>
    <w:p>
      <w:pPr>
        <w:jc w:val="both"/>
      </w:pPr>
      <w:r>
        <w:t>1. Thông tư này có hiệu lực thi hành kể từ ngày 01 tháng 01 năm 2017 và thay thế Thông tư liên tịch số 158/2015/TTLT-BTC-BTP ngày 12 tháng 10 năm 2015 của Bộ trưởng Bộ Tài chính và Bộ trưởng Bộ Tư pháp quy định mức thu, chế độ thu, nộp và quản lý lệ phí chứng thực bản sao từ bản chính, chứng thực chữ ký, chứng thực hợp đồng, giao dịch.</w:t>
      </w:r>
    </w:p>
    <w:p>
      <w:pPr>
        <w:jc w:val="both"/>
      </w:pPr>
      <w:r>
        <w:t>2. Các nội dung khác liên quan đến việc thu, nộp, quản lý, sử dụng, chứng từ thu, công khai chế độ thu phí không đề cập tại Thông tư này được thực hiện theo quy định tại Luật phí và lệ phí, Nghị định số 120/2016/NĐ-CP ngày 23 tháng 8 năm 2016 của Chính phủ; Thông tư số 156/2013/TT-BTC ngày 06 tháng 11 năm 2013 của Bộ trưởng Bộ Tài chính; Thông tư của Bộ trưởng Bộ Tài chính quy định in, phát hành, quản lý và sử dụng các loại chứng từ thu phí, lệ phí thuộc ngân sách nhà nước và các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Vũ Thị Mai</w:t>
      </w:r>
    </w:p>
    <w:p>
      <w:r>
        <w:rPr>
          <w:i/>
        </w:rPr>
        <w:t>Nguồn: Cơ sở dữ liệu quốc gia về văn bản pháp luật (Bộ Tư pháp). VietSmart Legal, legal.giangpham.asia/van-ban/119170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