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220/2016/TT-BTC</w:t>
      </w:r>
    </w:p>
    <w:p>
      <w:pPr>
        <w:jc w:val="both"/>
      </w:pPr>
      <w:r>
        <w:t>Hà Nội, ngày 10 tháng 11 năm 2016</w:t>
      </w:r>
    </w:p>
    <w:p>
      <w:pPr>
        <w:jc w:val="center"/>
      </w:pPr>
      <w:r>
        <w:rPr>
          <w:b/>
        </w:rPr>
        <w:t>THÔNG TƯ</w:t>
      </w:r>
    </w:p>
    <w:p>
      <w:pPr>
        <w:jc w:val="both"/>
      </w:pPr>
      <w:r>
        <w:t>Quy định mức thu, chế độ thu, nộp, quản lý và sử dụng phí, lệ phí trong lĩnh vực hoạt động hành nghề luật sư</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trong lĩnh vực hoạt động hành nghề luật sư.</w:t>
      </w:r>
    </w:p>
    <w:p>
      <w:pPr>
        <w:jc w:val="both"/>
      </w:pPr>
      <w:r>
        <w:rPr>
          <w:b/>
        </w:rPr>
        <w:t>Điều 1. Phạm vi điều chỉnh, đối tượng áp dụng</w:t>
      </w:r>
    </w:p>
    <w:p>
      <w:pPr>
        <w:jc w:val="both"/>
      </w:pPr>
      <w:r>
        <w:t>1. Thông tư này quy định mức thu, chế độ thu, nộp, quản lý và sử dụng phí, lệ phí trong lĩnh vực hoạt động hành nghề luật sư.</w:t>
      </w:r>
    </w:p>
    <w:p>
      <w:pPr>
        <w:jc w:val="both"/>
      </w:pPr>
      <w:r>
        <w:t>2. Thông tư này áp dụng đối với người nộp, tổ chức thu phí, lệ phí trong lĩnh vực hoạt động hành nghề luật sư và tổ chức, cá nhân khác có liên quan đến việc thu, nộp, quản lý và sử dụng phí, lệ phí trong lĩnh vực hoạt động hành nghề luật sư.</w:t>
      </w:r>
    </w:p>
    <w:p>
      <w:pPr>
        <w:jc w:val="both"/>
      </w:pPr>
      <w:r>
        <w:rPr>
          <w:b/>
        </w:rPr>
        <w:t>Điều 2. Người nộp phí, lệ phí</w:t>
      </w:r>
    </w:p>
    <w:p>
      <w:pPr>
        <w:jc w:val="both"/>
      </w:pPr>
      <w:r>
        <w:t>1. Cá nhân khi đề nghị cấp, cấp lại chứng chỉ hành nghề luật sư phải nộp phí, lệ phí theo quy định.</w:t>
      </w:r>
    </w:p>
    <w:p>
      <w:pPr>
        <w:jc w:val="both"/>
      </w:pPr>
      <w:r>
        <w:t>2. Tổ chức hành nghề luật sư nước ngoài khi đề nghị cấp, cấp lại Giấy phép hành nghề của chi nhánh của tổ chức hành nghề luật sư nước ngoài; công ty luật trách nhiệm hữu hạn một trăm phần trăm vốn nước ngoài; công ty luật trách nhiệm hữu hạn dưới hình thức liên doanh; công ty luật hợp danh giữa tổ chức hành nghề luật sư nước ngoài và công ty luật hợp danh Việt Nam (sau đây gọi tắt là tổ chức hành nghề luật sư nước ngoài tại Việt Nam) phải nộp phí theo quy định.</w:t>
      </w:r>
    </w:p>
    <w:p>
      <w:pPr>
        <w:jc w:val="both"/>
      </w:pPr>
      <w:r>
        <w:t>3. Tổ chức hành nghề luật sư nước ngoài tại Việt Nam khi đề nghị thay đổi nội dung hành nghề phải nộp phí theo quy định.</w:t>
      </w:r>
    </w:p>
    <w:p>
      <w:pPr>
        <w:jc w:val="both"/>
      </w:pPr>
      <w:r>
        <w:t>4. Chi nhánh của công ty luật nước ngoài tại Việt Nam khi đề nghị cấp, cấp lại, thay đổi nội dung hành nghề của chi nhánh của công ty luật nước ngoài tại Việt Nam phải nộp phí theo quy định.</w:t>
      </w:r>
    </w:p>
    <w:p>
      <w:pPr>
        <w:jc w:val="both"/>
      </w:pPr>
      <w:r>
        <w:t>5. Luật sư nước ngoài khi đề nghị cấp, cấp lại Giấy phép hành nghề tại Việt Nam phải nộp phí theo quy định.</w:t>
      </w:r>
    </w:p>
    <w:p>
      <w:pPr>
        <w:jc w:val="both"/>
      </w:pPr>
      <w:r>
        <w:t>6. Luật sư nước ngoài khi đề nghị gia hạn hành nghề tại Việt Nam phải nộp phí theo quy định.</w:t>
      </w:r>
    </w:p>
    <w:p>
      <w:pPr>
        <w:jc w:val="both"/>
      </w:pPr>
      <w:r>
        <w:t>7. Tổ chức hành nghề luật sư nước ngoài tại Việt Nam, chi nhánh của công ty luật nước ngoài tại Việt Nam khi đề nghị cấp, cấp lại, thay đổi nội dung hoạt động phải nộp phí theo quy định.</w:t>
      </w:r>
    </w:p>
    <w:p>
      <w:pPr>
        <w:jc w:val="both"/>
      </w:pPr>
      <w:r>
        <w:rPr>
          <w:b/>
        </w:rPr>
        <w:t>Điều 3. Tổ chức thu phí, lệ phí</w:t>
      </w:r>
    </w:p>
    <w:p>
      <w:pPr>
        <w:jc w:val="both"/>
      </w:pPr>
      <w:r>
        <w:t>1. Cục Bổ trợ tư pháp (Bộ Tư pháp) thu phí thẩm định tiêu chuẩn, điều kiện hành nghề thuộc lĩnh vực luật sư theo quy định tại mục 1; mục 2a, 2b, 2c, 2d, 2đ và mục 2e Điều 4 của Thông tư này.</w:t>
      </w:r>
    </w:p>
    <w:p>
      <w:pPr>
        <w:jc w:val="both"/>
      </w:pPr>
      <w:r>
        <w:t>2. Sở Tư pháp các tỉnh, thành phố trực thuộc Trung ương thu phí, lệ phí thẩm định tiêu chuẩn, điều kiện hành nghề thuộc lĩnh vực luật sư theo quy định tại mục 2g, 2h, 2i và mục 2k Điều 4 của Thông tư này.</w:t>
      </w:r>
    </w:p>
    <w:p>
      <w:pPr>
        <w:jc w:val="both"/>
      </w:pPr>
      <w:r>
        <w:rPr>
          <w:b/>
        </w:rPr>
        <w:t>Điều 4. Mức thu phí, lệ phí</w:t>
      </w:r>
    </w:p>
    <w:p>
      <w:pPr>
        <w:jc w:val="both"/>
      </w:pPr>
      <w:r>
        <w:t>Mức phí, lệ phí trong lĩnh vực hoạt động hành nghề luật sư như sau:</w:t>
      </w:r>
    </w:p>
    <w:p>
      <w:pPr>
        <w:jc w:val="both"/>
      </w:pPr>
      <w:r>
        <w:t>Stt</w:t>
      </w:r>
    </w:p>
    <w:p>
      <w:pPr>
        <w:jc w:val="both"/>
      </w:pPr>
      <w:r>
        <w:t>Nội dung thu</w:t>
      </w:r>
    </w:p>
    <w:p>
      <w:pPr>
        <w:jc w:val="both"/>
      </w:pPr>
      <w:r>
        <w:t>Mức thu</w:t>
      </w:r>
    </w:p>
    <w:p>
      <w:pPr>
        <w:jc w:val="both"/>
      </w:pPr>
      <w:r>
        <w:t>(đồng/hồ sơ)</w:t>
      </w:r>
    </w:p>
    <w:p>
      <w:pPr>
        <w:jc w:val="both"/>
      </w:pPr>
      <w:r>
        <w:t>1</w:t>
      </w:r>
    </w:p>
    <w:p>
      <w:pPr>
        <w:jc w:val="both"/>
      </w:pPr>
      <w:r>
        <w:t>Lệ phí cấp chứng chỉ hành nghề luật sư</w:t>
      </w:r>
    </w:p>
    <w:p>
      <w:pPr>
        <w:jc w:val="both"/>
      </w:pPr>
      <w:r>
        <w:t>100.000</w:t>
      </w:r>
    </w:p>
    <w:p>
      <w:pPr>
        <w:jc w:val="both"/>
      </w:pPr>
      <w:r>
        <w:t>2</w:t>
      </w:r>
    </w:p>
    <w:p>
      <w:pPr>
        <w:jc w:val="both"/>
      </w:pPr>
      <w:r>
        <w:t>Phí thẩm định tiêu chuẩn, điều kiện hành nghề thuộc lĩnh vực luật sư</w:t>
      </w:r>
    </w:p>
    <w:p>
      <w:pPr>
        <w:jc w:val="both"/>
      </w:pPr>
      <w:r>
        <w:t>a</w:t>
      </w:r>
    </w:p>
    <w:p>
      <w:pPr>
        <w:jc w:val="both"/>
      </w:pPr>
      <w:r>
        <w:t>Thẩm định tiêu chuẩn, điều kiện hành nghề luật sư</w:t>
      </w:r>
    </w:p>
    <w:p>
      <w:pPr>
        <w:jc w:val="both"/>
      </w:pPr>
      <w:r>
        <w:t>800.000</w:t>
      </w:r>
    </w:p>
    <w:p>
      <w:pPr>
        <w:jc w:val="both"/>
      </w:pPr>
      <w:r>
        <w:t>b</w:t>
      </w:r>
    </w:p>
    <w:p>
      <w:pPr>
        <w:jc w:val="both"/>
      </w:pPr>
      <w:r>
        <w:t>Thẩm định tiêu chuẩn, điều kiện hành nghề của tổ chức hành nghề luật sư nước ngoài tại Việt Nam</w:t>
      </w:r>
    </w:p>
    <w:p>
      <w:pPr>
        <w:jc w:val="both"/>
      </w:pPr>
      <w:r>
        <w:t>20.000.000</w:t>
      </w:r>
    </w:p>
    <w:p>
      <w:pPr>
        <w:jc w:val="both"/>
      </w:pPr>
      <w:r>
        <w:t>c</w:t>
      </w:r>
    </w:p>
    <w:p>
      <w:pPr>
        <w:jc w:val="both"/>
      </w:pPr>
      <w:r>
        <w:t>Thẩm định điều kiện thay đổi nội dung hành nghề của tổ chức hành nghề luật sư nước ngoài tại Việt Nam</w:t>
      </w:r>
    </w:p>
    <w:p>
      <w:pPr>
        <w:jc w:val="both"/>
      </w:pPr>
      <w:r>
        <w:t>4.000.000</w:t>
      </w:r>
    </w:p>
    <w:p>
      <w:pPr>
        <w:jc w:val="both"/>
      </w:pPr>
      <w:r>
        <w:t>d</w:t>
      </w:r>
    </w:p>
    <w:p>
      <w:pPr>
        <w:jc w:val="both"/>
      </w:pPr>
      <w:r>
        <w:t>Thẩm định tiêu chuẩn, điều kiện hành nghề; thay đổi nội dung hành nghề của chi nhánh của công ty luật nước ngoài tại Việt Nam</w:t>
      </w:r>
    </w:p>
    <w:p>
      <w:pPr>
        <w:jc w:val="both"/>
      </w:pPr>
      <w:r>
        <w:t>3.000.000</w:t>
      </w:r>
    </w:p>
    <w:p>
      <w:pPr>
        <w:jc w:val="both"/>
      </w:pPr>
      <w:r>
        <w:t>đ</w:t>
      </w:r>
    </w:p>
    <w:p>
      <w:pPr>
        <w:jc w:val="both"/>
      </w:pPr>
      <w:r>
        <w:t>Thẩm định tiêu chuẩn, điều kiện hành nghề của luật sư nước ngoài tại Việt Nam</w:t>
      </w:r>
    </w:p>
    <w:p>
      <w:pPr>
        <w:jc w:val="both"/>
      </w:pPr>
      <w:r>
        <w:t>5.000.000</w:t>
      </w:r>
    </w:p>
    <w:p>
      <w:pPr>
        <w:jc w:val="both"/>
      </w:pPr>
      <w:r>
        <w:t>e</w:t>
      </w:r>
    </w:p>
    <w:p>
      <w:pPr>
        <w:jc w:val="both"/>
      </w:pPr>
      <w:r>
        <w:t>Thẩm định điều kiện gia hạn hành nghề của luật sư nước ngoài tại Việt Nam</w:t>
      </w:r>
    </w:p>
    <w:p>
      <w:pPr>
        <w:jc w:val="both"/>
      </w:pPr>
      <w:r>
        <w:t>3.000.000</w:t>
      </w:r>
    </w:p>
    <w:p>
      <w:pPr>
        <w:jc w:val="both"/>
      </w:pPr>
      <w:r>
        <w:t>g</w:t>
      </w:r>
    </w:p>
    <w:p>
      <w:pPr>
        <w:jc w:val="both"/>
      </w:pPr>
      <w:r>
        <w:t>Thẩm định điều kiện hoạt động của tổ chức hành nghề luật sư nước ngoài tại Việt Nam</w:t>
      </w:r>
    </w:p>
    <w:p>
      <w:pPr>
        <w:jc w:val="both"/>
      </w:pPr>
      <w:r>
        <w:t>2.000.000</w:t>
      </w:r>
    </w:p>
    <w:p>
      <w:pPr>
        <w:jc w:val="both"/>
      </w:pPr>
      <w:r>
        <w:t>h</w:t>
      </w:r>
    </w:p>
    <w:p>
      <w:pPr>
        <w:jc w:val="both"/>
      </w:pPr>
      <w:r>
        <w:t>Thẩm định điều kiện thay đổi nội dung hoạt động của tổ chức hành nghề luật sư nước ngoài tại Việt Nam</w:t>
      </w:r>
    </w:p>
    <w:p>
      <w:pPr>
        <w:jc w:val="both"/>
      </w:pPr>
      <w:r>
        <w:t>1.000.000</w:t>
      </w:r>
    </w:p>
    <w:p>
      <w:pPr>
        <w:jc w:val="both"/>
      </w:pPr>
      <w:r>
        <w:t>i</w:t>
      </w:r>
    </w:p>
    <w:p>
      <w:pPr>
        <w:jc w:val="both"/>
      </w:pPr>
      <w:r>
        <w:t>Thẩm định điều kiện hoạt động của chi nhánh của công ty luật nước ngoài tại Việt Nam</w:t>
      </w:r>
    </w:p>
    <w:p>
      <w:pPr>
        <w:jc w:val="both"/>
      </w:pPr>
      <w:r>
        <w:t>600.000</w:t>
      </w:r>
    </w:p>
    <w:p>
      <w:pPr>
        <w:jc w:val="both"/>
      </w:pPr>
      <w:r>
        <w:t>k</w:t>
      </w:r>
    </w:p>
    <w:p>
      <w:pPr>
        <w:jc w:val="both"/>
      </w:pPr>
      <w:r>
        <w:t>Thẩm định điều kiện thay đổi nội dung hoạt động của chi nhánh của công ty luật nước ngoài tại Việt Nam</w:t>
      </w:r>
    </w:p>
    <w:p>
      <w:pPr>
        <w:jc w:val="both"/>
      </w:pPr>
      <w:r>
        <w:t>400.000</w:t>
      </w:r>
    </w:p>
    <w:p>
      <w:pPr>
        <w:jc w:val="both"/>
      </w:pPr>
      <w:r>
        <w:rPr>
          <w:b/>
        </w:rPr>
        <w:t>Điều 5. Kê khai, nộp phí, lệ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lệ phí thực hiện kê khai, nộp số tiền phí, lệ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phí, lệ phí</w:t>
      </w:r>
    </w:p>
    <w:p>
      <w:pPr>
        <w:jc w:val="both"/>
      </w:pPr>
      <w:r>
        <w:t>1. Tổ chức thu phí nộp toàn bộ số tiền phí thu được vào ngân sách nhà nước trừ các trường hợp quy định tại khoản 2 của Điều này. Nguồn chi phí trang trải cho thực hiện công việc và thu phí do ngân sách nhà nước bố trí trong dự toán của tổ chức thu theo chế độ, định mức chi ngân sách nhà nước.</w:t>
      </w:r>
    </w:p>
    <w:p>
      <w:pPr>
        <w:jc w:val="both"/>
      </w:pPr>
      <w:r>
        <w:t>2. Trường hợp tổ chức thu phí là cơ quan nhà nước được khoán chi phí hoạt động từ nguồn thu phí theo quy định tại khoản 1 Điều 4 Nghị định số 120/2016/NĐ-CP ngày 23 tháng 8 năm 2016 của Chính phủ thì được trích lại 90% số tiền phí thu được để trang trải chi phí cho các nội dung chi theo quy định tại Điều 5 Nghị định số 120/2016/NĐ-CP ngày 23 tháng 8 năm 2016 của Chính phủ. Nộp 10% tiền phí thu được vào ngân sách nhà nước theo chương, tiểu mục của Mục lục ngân sách nhà nước hiện hành.</w:t>
      </w:r>
    </w:p>
    <w:p>
      <w:pPr>
        <w:jc w:val="both"/>
      </w:pPr>
      <w:r>
        <w:t>3. Tổ chức thu lệ phí nộp 100% tiền lệ phí thu được vào ngân sách nhà nước theo chương, tiểu mục của Mục lục ngân sách nhà nước hiện hành. Nguồn chi phí trang trải cho thực hiện công việc và thu lệ phí do ngân sách nhà nước bố trí trong dự toán của tổ chức thu theo chế độ, định mức chi ngân sách nhà nước.</w:t>
      </w:r>
    </w:p>
    <w:p>
      <w:pPr>
        <w:jc w:val="both"/>
      </w:pPr>
      <w:r>
        <w:rPr>
          <w:b/>
        </w:rPr>
        <w:t>Điều 7. Tổ chức thực hiện</w:t>
      </w:r>
    </w:p>
    <w:p>
      <w:pPr>
        <w:jc w:val="both"/>
      </w:pPr>
      <w:r>
        <w:t>1. Thông tư này có hiệu lực thi hành kể từ ngày 01 tháng 01 năm 2017 và thay thế Thông tư số 02/2012/TT-BTC ngày 05 tháng 01 năm 2012 của Bộ trưởng Bộ Tài chính quy định chế độ thu, nộp, quản lý và sử dụng lệ phí trong lĩnh vực hoạt động hành nghề luật sư tại Việt Nam và Thông tư số 118/2015/TT-BTC ngày 12 tháng 8 năm 2015 sửa đổi một số điều của Thông tư số 02/2012/TT-BTC ngày 05 tháng 01 năm 2012.</w:t>
      </w:r>
    </w:p>
    <w:p>
      <w:pPr>
        <w:jc w:val="both"/>
      </w:pPr>
      <w:r>
        <w:t>2. Các nội dung khác liên quan đến việc thu, nộp, quản lý, sử dụng, chứng từ thu, công khai chế độ thu phí, lệ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legal.giangpham.asia/van-ban/119161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