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263/2016/TT-BTC</w:t>
      </w:r>
    </w:p>
    <w:p>
      <w:pPr>
        <w:jc w:val="both"/>
      </w:pPr>
      <w:r>
        <w:t>Hà Nội, ngày 14 tháng 11 năm 2016</w:t>
      </w:r>
    </w:p>
    <w:p>
      <w:pPr>
        <w:jc w:val="center"/>
      </w:pPr>
      <w:r>
        <w:rPr>
          <w:b/>
        </w:rPr>
        <w:t>THÔNG TƯ</w:t>
      </w:r>
    </w:p>
    <w:p>
      <w:pPr>
        <w:jc w:val="both"/>
      </w:pPr>
      <w:r>
        <w:t>QUY ĐỊNH MỨC THU, CHẾ ĐỘ THU, NỘP, QUẢN LÝ VÀ SỬ DỤNG PHÍ, LỆ PHÍ SỞ HỮU CÔNG NGHIỆP</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103/2006/NĐ-CP ngày 22 tháng 9 năm 2006 của Chính phủ quy định chi tiết và hướng dẫn thi hành một số điều của Luật sở hữu trí tuệ về sở hữu công nghiệp và Nghị định số 122/2010/NĐ-CP ngày 31 tháng 12 năm 2010 của Chính phủ sửa đổi, bổ sung một số điều của Nghị định số 103/2006/NĐ-CP.</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lệ phí sở hữu công nghiệp.</w:t>
      </w:r>
    </w:p>
    <w:p>
      <w:pPr>
        <w:jc w:val="both"/>
      </w:pPr>
      <w:r>
        <w:rPr>
          <w:b/>
        </w:rPr>
        <w:t>Điều 1. Phạm vi điều chỉnh và đối tượng áp dụng</w:t>
      </w:r>
    </w:p>
    <w:p>
      <w:pPr>
        <w:jc w:val="both"/>
      </w:pPr>
      <w:r>
        <w:t>1. Phạm vi điều chỉnh</w:t>
      </w:r>
    </w:p>
    <w:p>
      <w:pPr>
        <w:jc w:val="both"/>
      </w:pPr>
      <w:r>
        <w:t>Thông tư này quy định mức thu, chế độ thu, nộp, quản lý và sử dụng phí, lệ phí sở hữu công nghiệp.</w:t>
      </w:r>
    </w:p>
    <w:p>
      <w:pPr>
        <w:jc w:val="both"/>
      </w:pPr>
      <w:r>
        <w:t>2. Đối tượng áp dụng</w:t>
      </w:r>
    </w:p>
    <w:p>
      <w:pPr>
        <w:jc w:val="both"/>
      </w:pPr>
      <w:r>
        <w:t>Thông tư này áp dụng đối với các tổ chức, cá nhân nộp đơn, hồ sơ yêu cầu thực hiện công việc, dịch vụ bảo hộ quyền sở hữu công nghiệp; cơ quan quản lý nhà nước thực hiện công việc, dịch vụ bảo hộ quyền sở hữu công nghiệp; các tổ chức, cá nhân khác có liên quan đến việc thu, nộp phí, lệ phí sở hữu công nghiệp.</w:t>
      </w:r>
    </w:p>
    <w:p>
      <w:pPr>
        <w:jc w:val="both"/>
      </w:pPr>
      <w:r>
        <w:rPr>
          <w:b/>
        </w:rPr>
        <w:t>Điều 2. Người nộp phí, lệ phí</w:t>
      </w:r>
    </w:p>
    <w:p>
      <w:pPr>
        <w:jc w:val="both"/>
      </w:pPr>
      <w:r>
        <w:t>Tổ chức, cá nhân Việt Nam và nước ngoài khi nộp đơn, hồ sơ yêu cầu cơ quan quản lý nhà nước thực hiện công việc, dịch vụ bảo hộ quyền sở hữu công nghiệp phải nộp phí, lệ phí theo quy định tại Thông tư này.</w:t>
      </w:r>
    </w:p>
    <w:p>
      <w:pPr>
        <w:jc w:val="both"/>
      </w:pPr>
      <w:r>
        <w:rPr>
          <w:b/>
        </w:rPr>
        <w:t>Điều 3. Tổ chức thu phí, lệ phí</w:t>
      </w:r>
    </w:p>
    <w:p>
      <w:pPr>
        <w:jc w:val="both"/>
      </w:pPr>
      <w:r>
        <w:t>Cục Sở hữu trí tuệ thực hiện công việc, dịch vụ bảo hộ quyền sở hữu công nghiệp là tổ chức thu phí, lệ phí sở hữu công nghiệp (dưới đây gọi là tổ chức thu phí, lệ phí).</w:t>
      </w:r>
    </w:p>
    <w:p>
      <w:pPr>
        <w:jc w:val="both"/>
      </w:pPr>
      <w:r>
        <w:rPr>
          <w:b/>
        </w:rPr>
        <w:t>Điều 4. Mức thu phí, lệ phí</w:t>
      </w:r>
    </w:p>
    <w:p>
      <w:pPr>
        <w:jc w:val="both"/>
      </w:pPr>
      <w:r>
        <w:t>1. Mức thu phí, lệ phí sở hữu công nghiệp thực hiện theo quy định tại Biểu mức thu phí, lệ phí sở hữu công nghiệp ban hành kèm theo Thông tư này.</w:t>
      </w:r>
    </w:p>
    <w:p>
      <w:pPr>
        <w:jc w:val="both"/>
      </w:pPr>
      <w:r>
        <w:t>2. Phí, lệ phí quy định tại Thông tư này được thu bằng đồng Việt Nam, trừ trường hợp thu phí thông qua Văn phòng quốc tế của Tổ chức Sở hữu trí tuệ thế giới (WIPO) được thu bằng Franc Thụy Sỹ (CHF) trên cơ sở quy đổi mức thu bằng đồng Việt Nam theo tỷ giá hối đoái chính thức của Liên hợp quốc.</w:t>
      </w:r>
    </w:p>
    <w:p>
      <w:pPr>
        <w:jc w:val="both"/>
      </w:pPr>
      <w:r>
        <w:t>3. Tổ chức, cá nhân nộp phí, lệ phí sở hữu công nghiệp bằng tiền mặt hoặc qua dịch vụ bưu chính cho tổ chức thu phí, lệ phí hoặc chuyển khoản vào tài khoản của tổ chức thu phí, lệ phí.</w:t>
      </w:r>
    </w:p>
    <w:p>
      <w:pPr>
        <w:jc w:val="both"/>
      </w:pPr>
      <w:r>
        <w:t>Đối với phí thu qua Văn phòng quốc tế của WIPO: Phí được chuyển khoản vào tài khoản của tổ chức thu phí mở tại ngân hàng thương mại, tổ chức tín dụng Việt Nam.</w:t>
      </w:r>
    </w:p>
    <w:p>
      <w:pPr>
        <w:jc w:val="both"/>
      </w:pPr>
      <w:r>
        <w:rPr>
          <w:b/>
        </w:rPr>
        <w:t>Điều 5. Kê khai, nộp phí, lệ phí</w:t>
      </w:r>
    </w:p>
    <w:p>
      <w:pPr>
        <w:jc w:val="both"/>
      </w:pPr>
      <w:r>
        <w:t>1. Chậm nhất thứ 2 hàng tuần, tổ chức thu phí phải gửi số tiền phí đã thu của tuần trước vào tài khoản phí chờ nộp ngân sách mở tại Kho bạc Nhà nước.</w:t>
      </w:r>
    </w:p>
    <w:p>
      <w:pPr>
        <w:jc w:val="both"/>
      </w:pPr>
      <w:r>
        <w:t>2. Tổ chức thu phí, lệ phí thực hiện kê khai phí, lệ phí theo tháng, quyết toán phí, lệ phí theo năm theo quy định tại khoản 3 Điều 19 và nộp phí, lệ phí vào ngân sách nhà nước theo quy định tại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6. Quản lý và sử dụng phí, lệ phí</w:t>
      </w:r>
    </w:p>
    <w:p>
      <w:pPr>
        <w:jc w:val="both"/>
      </w:pPr>
      <w:r>
        <w:t>1. Tổ chức thu lệ phí nộp toàn bộ số tiền lệ phí thu được vào ngân sách nhà nước theo Mục lục ngân sách nhà nước hiện hành.</w:t>
      </w:r>
    </w:p>
    <w:p>
      <w:pPr>
        <w:jc w:val="both"/>
      </w:pPr>
      <w:r>
        <w:t>2. Tổ chức thu phí được để lại 85% (tám mươi năm phần trăm) số tiền phí thu được trước khi nộp ngân sách nhà nước, để trang trải các chi phí cho việc thực hiện công việc, dịch vụ và thu phí theo quy định tại Điều 5 Nghị định số 120/2016/NĐ-CP ngày 23 tháng 8 năm 2016 của Chính phủ quy định chi tiết một số điều của Luật phí và lệ phí.</w:t>
      </w:r>
    </w:p>
    <w:p>
      <w:pPr>
        <w:jc w:val="both"/>
      </w:pPr>
      <w:r>
        <w:t>Số còn lại 15% (mười lăm phần trăm) trên tổng số tiền phí thu được nộp vào ngân sách nhà nước theo Mục lục ngân sách nhà nước hiện hành.</w:t>
      </w:r>
    </w:p>
    <w:p>
      <w:pPr>
        <w:jc w:val="both"/>
      </w:pPr>
      <w:r>
        <w:rPr>
          <w:b/>
        </w:rPr>
        <w:t>Điều 7. Tổ chức thực hiện</w:t>
      </w:r>
    </w:p>
    <w:p>
      <w:pPr>
        <w:jc w:val="both"/>
      </w:pPr>
      <w:r>
        <w:t>1. Thông tư này có hiệu lực từ 01 tháng 01 năm 2017; thay thế Thông tư số 22/2009/TT-BTC ngày 04 tháng 02 năm 2009 của Bộ trưởng Bộ Tài chính quy định mức thu, chế độ thu, nộp, quản lý và sử dụng phí, lệ phí sở hữu công nghiệp; khoản 1 Điều 1 Thông tư số 152/2013/TT-BTC ngày 29 tháng 10 năm 2013 sửa đổi, bổ sung một số điều của Thông tư số 158/2010/TT-BTC ngày 12 tháng 10 năm 2010 của Bộ trưởng Bộ Tài chính hướng dẫn chế độ tài chính đối với Cục Sở hữu trí tuệ.</w:t>
      </w:r>
    </w:p>
    <w:p>
      <w:pPr>
        <w:jc w:val="both"/>
      </w:pPr>
      <w:r>
        <w:t>2. Đối với các yêu cầu thực hiện công việc về sở hữu công nghiệp đã nộp trước ngày Thông tư này có hiệu lực nhưng chưa hoàn thành và chưa nộp phí, lệ phí, nay có yêu cầu và được thực hiện thì phải nộp phí, lệ phí theo mức thu được quy định tại Thông tư này.</w:t>
      </w:r>
    </w:p>
    <w:p>
      <w:pPr>
        <w:jc w:val="both"/>
      </w:pPr>
      <w:r>
        <w:t>3. Các nội dung khác liên quan đến việc thu, nộp, quản lý, sử dụng phí, lệ phí sở hữu công nghiệp không đề cập tại Thông tư này được thực hiện theo quy định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và Thông tư của Bộ trưởng Bộ Tài chính quy định về in, phát hành, quản lý và sử dụng các loại chứng từ thu tiền phí, lệ phí thuộc ngân sách nhà nước và các văn bản sửa đổi, bổ sung hoặc thay thế (nếu có).</w:t>
      </w:r>
    </w:p>
    <w:p>
      <w:pPr>
        <w:jc w:val="both"/>
      </w:pPr>
      <w:r>
        <w:t>4. Tổ chức, cá nhân thuộc đối tượng nộp phí,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Nơi nhận:</w:t>
      </w:r>
    </w:p>
    <w:p>
      <w:pPr>
        <w:jc w:val="both"/>
      </w:pPr>
      <w:r>
        <w:t>- Văn phòng Trung ương Đảng;</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w:t>
      </w:r>
    </w:p>
    <w:p>
      <w:pPr>
        <w:jc w:val="both"/>
      </w:pPr>
      <w:r>
        <w:t>cơ quan thuộc Chính phủ;</w:t>
      </w:r>
    </w:p>
    <w:p>
      <w:pPr>
        <w:jc w:val="both"/>
      </w:pPr>
      <w:r>
        <w:t>- Cơ quan Trung ương của các đoàn thể;</w:t>
      </w:r>
    </w:p>
    <w:p>
      <w:pPr>
        <w:jc w:val="both"/>
      </w:pPr>
      <w:r>
        <w:t>- Công báo;</w:t>
      </w:r>
    </w:p>
    <w:p>
      <w:pPr>
        <w:jc w:val="both"/>
      </w:pPr>
      <w:r>
        <w:t>- Uỷ ban nhân dân, Sở Tài chính, Cục Thuế, Kho bạc nhà nước các tỉnh, thành phố trực thuộc Trung ương;</w:t>
      </w:r>
    </w:p>
    <w:p>
      <w:pPr>
        <w:jc w:val="both"/>
      </w:pPr>
      <w:r>
        <w:t>- Các đơn vị thuộc Bộ Tài chính;</w:t>
      </w:r>
    </w:p>
    <w:p>
      <w:pPr>
        <w:jc w:val="both"/>
      </w:pPr>
      <w:r>
        <w:t>- Website Chính phủ;</w:t>
      </w:r>
    </w:p>
    <w:p>
      <w:pPr>
        <w:jc w:val="both"/>
      </w:pPr>
      <w:r>
        <w:t>- Website Bộ Tài chính;</w:t>
      </w:r>
    </w:p>
    <w:p>
      <w:pPr>
        <w:jc w:val="both"/>
      </w:pPr>
      <w:r>
        <w:t>- Cục kiểm tra văn bản (Bộ Tư pháp);</w:t>
      </w:r>
    </w:p>
    <w:p>
      <w:pPr>
        <w:jc w:val="both"/>
      </w:pPr>
      <w:r>
        <w:t>- Lưu VT, CST (CST 5).</w:t>
      </w:r>
    </w:p>
    <w:p>
      <w:pPr>
        <w:jc w:val="both"/>
      </w:pPr>
      <w:r>
        <w:t>KT. BỘ TRƯỞNG</w:t>
      </w:r>
    </w:p>
    <w:p>
      <w:pPr>
        <w:jc w:val="both"/>
      </w:pPr>
      <w:r>
        <w:t>THỨ TRƯỞNG</w:t>
      </w:r>
    </w:p>
    <w:p>
      <w:pPr>
        <w:jc w:val="both"/>
      </w:pPr>
      <w:r>
        <w:t>Vũ Thị Mai</w:t>
      </w:r>
    </w:p>
    <w:p>
      <w:r>
        <w:rPr>
          <w:i/>
        </w:rPr>
        <w:t>Nguồn: Cơ sở dữ liệu quốc gia về văn bản pháp luật (Bộ Tư pháp). VietSmart Legal, legal.giangpham.asia/van-ban/119129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