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88/2009/QĐ-TTg</w:t>
      </w:r>
    </w:p>
    <w:p>
      <w:pPr>
        <w:jc w:val="both"/>
      </w:pPr>
      <w:r>
        <w:t>Ngày 18 tháng 6 năm 2009</w:t>
      </w:r>
    </w:p>
    <w:p>
      <w:pPr>
        <w:jc w:val="center"/>
      </w:pPr>
      <w:r>
        <w:rPr>
          <w:b/>
        </w:rPr>
        <w:t>QUYẾT ĐỊNH</w:t>
      </w:r>
    </w:p>
    <w:p>
      <w:pPr>
        <w:jc w:val="both"/>
      </w:pPr>
      <w:r>
        <w:t>Về việc ban hành Quy chế góp vốn, mua cổ phần của nhà đầu tư nước ngoài trong các doanh nghiệp Việt Nam</w:t>
      </w:r>
    </w:p>
    <w:p>
      <w:pPr>
        <w:jc w:val="both"/>
      </w:pPr>
      <w:r>
        <w:t>____________________________________________</w:t>
      </w:r>
    </w:p>
    <w:p>
      <w:pPr>
        <w:jc w:val="both"/>
      </w:pPr>
      <w:r>
        <w:t>THỦ TƯỚNG CHÍNH PHỦ</w:t>
      </w:r>
    </w:p>
    <w:p>
      <w:pPr>
        <w:jc w:val="both"/>
      </w:pPr>
      <w:r>
        <w:t>Căn cứ Luật Tổ chức Chính phủ ngày 25 tháng 12 năm 2001;</w:t>
      </w:r>
    </w:p>
    <w:p>
      <w:pPr>
        <w:jc w:val="both"/>
      </w:pPr>
      <w:r>
        <w:t>Căn cứ Luật Đầu tư ngày 29 tháng 11 năm 2005;</w:t>
      </w:r>
    </w:p>
    <w:p>
      <w:pPr>
        <w:jc w:val="both"/>
      </w:pPr>
      <w:r>
        <w:t>Căn cứ Luật Doanh nghiệp ngày 29 tháng 11 năm 2005;</w:t>
      </w:r>
    </w:p>
    <w:p>
      <w:pPr>
        <w:jc w:val="both"/>
      </w:pPr>
      <w:r>
        <w:t>Căn cứ Luật Chứng khoán ngày 29 tháng 6 năm 2006;</w:t>
      </w:r>
    </w:p>
    <w:p>
      <w:pPr>
        <w:jc w:val="both"/>
      </w:pPr>
      <w:r>
        <w:t>Căn cứ Nghị định số 108/2006/NĐ-CP ngày 22 tháng 9 năm 2006 của Chính phủ quy định chi tiết và hướng dẫn thi hành một số điều của Luật Đầu tư;</w:t>
      </w:r>
    </w:p>
    <w:p>
      <w:pPr>
        <w:jc w:val="both"/>
      </w:pPr>
      <w:r>
        <w:t>Căn cứ Nghị định số 139/2007/NĐ-CP ngày 05 tháng 9 năm 2007 của Chính phủ hướng dẫn chi tiết thi hành một số điều của Luật Doanh nghiệp;</w:t>
      </w:r>
    </w:p>
    <w:p>
      <w:pPr>
        <w:jc w:val="both"/>
      </w:pPr>
      <w:r>
        <w:t>Căn cứ Nghị định số 160/2006/NĐ-CP ngày 28 tháng 12 năm 2006 của Chính phủ quy định chi tiết thi hành Pháp lệnh Ngoại hối;</w:t>
      </w:r>
    </w:p>
    <w:p>
      <w:pPr>
        <w:jc w:val="both"/>
      </w:pPr>
      <w:r>
        <w:t>Xét đề nghị của Bộ trưởng Bộ Tài chính,</w:t>
      </w:r>
    </w:p>
    <w:p>
      <w:pPr>
        <w:jc w:val="center"/>
      </w:pPr>
      <w:r>
        <w:rPr>
          <w:b/>
        </w:rPr>
        <w:t>QUYẾT ĐỊNH:</w:t>
      </w:r>
    </w:p>
    <w:p>
      <w:pPr>
        <w:jc w:val="both"/>
      </w:pPr>
      <w:r>
        <w:rPr>
          <w:b/>
        </w:rPr>
        <w:t>Điều 1. Ban hành kèm theo Quyết định này Quy chế góp vốn, mua cổ phần của nhà đầu tư nước ngoài trong các doanh nghiệp Việt Nam.</w:t>
      </w:r>
    </w:p>
    <w:p>
      <w:pPr>
        <w:jc w:val="both"/>
      </w:pPr>
      <w:r>
        <w:rPr>
          <w:b/>
        </w:rPr>
        <w:t>Điều 2. Bộ trưởng Bộ Tài chính, Bộ trưởng Bộ Kế hoạch và Đầu tư, Thống đốc Ngân hàng Nhà nước Việt Nam và các Bộ, ngành liên quan hướng dẫn thi hành Quyết định này.</w:t>
      </w:r>
    </w:p>
    <w:p>
      <w:pPr>
        <w:jc w:val="both"/>
      </w:pPr>
      <w:r>
        <w:rPr>
          <w:b/>
        </w:rPr>
        <w:t>Điều 3. Quyết định này có hiệu lực thi hành kể từ ngày 15 tháng 8 năm 2009 và thay thế Quyết định số 36/2003/QĐ-TTg ngày 11 tháng 3 năm 2003 của Thủ tướng Chính phủ về việc ban hành Quy chế góp vốn, mua cổ phần của nhà đầu tư nước ngoài trong các doanh nghiệp Việt Nam.</w:t>
      </w:r>
    </w:p>
    <w:p>
      <w:pPr>
        <w:jc w:val="both"/>
      </w:pPr>
      <w:r>
        <w:t>Các Bộ trưởng, Thủ trưởng cơ quan ngang Bộ, Thủ trưởng cơ quan thuộc Chính phủ, Chủ tịch Ủy ban nhân dân tỉnh, thành phố trực thuộc Trung ương, Hội đồng quản trị các Tập đoàn, Tổng công ty nhà nước, các tổ chức và cá nhân liên quan chịu trách nhiệm thi hành Quyết định này.</w:t>
      </w:r>
    </w:p>
    <w:p>
      <w:pPr>
        <w:jc w:val="both"/>
      </w:pPr>
      <w:r>
        <w:t>THỦ TƯỚNG CHÍNH PHỦ</w:t>
      </w:r>
    </w:p>
    <w:p>
      <w:pPr>
        <w:jc w:val="both"/>
      </w:pPr>
      <w:r>
        <w:t>Dũng</w:t>
      </w:r>
    </w:p>
    <w:p>
      <w:pPr>
        <w:jc w:val="both"/>
      </w:pPr>
      <w:r>
        <w:t>Nguyễn Tấn Dũng</w:t>
      </w:r>
    </w:p>
    <w:p>
      <w:r>
        <w:rPr>
          <w:i/>
        </w:rPr>
        <w:t>Nguồn: Cơ sở dữ liệu quốc gia về văn bản pháp luật (Bộ Tư pháp). VietSmart Legal, legal.giangpham.asia/van-ban/11888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