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191/2016/TT-BTC</w:t>
      </w:r>
    </w:p>
    <w:p>
      <w:pPr>
        <w:jc w:val="both"/>
      </w:pPr>
      <w:r>
        <w:t>Ngày 08 tháng 11 năm 2016</w:t>
      </w:r>
    </w:p>
    <w:p>
      <w:pPr>
        <w:jc w:val="center"/>
      </w:pPr>
      <w:r>
        <w:rPr>
          <w:b/>
        </w:rPr>
        <w:t>THÔNG TƯ</w:t>
      </w:r>
    </w:p>
    <w:p>
      <w:pPr>
        <w:jc w:val="both"/>
      </w:pPr>
      <w:r>
        <w:t>Quy định mức thu, chế độ thu, nộp, quản lý và sử dụng phí thẩm định đánh giá trữ lượng khoáng sản và lệ phí cấp giấy phép hoạt động khoáng sản</w:t>
      </w:r>
    </w:p>
    <w:p>
      <w:pPr>
        <w:jc w:val="both"/>
      </w:pPr>
      <w:r>
        <w:t>----------------------</w:t>
      </w:r>
    </w:p>
    <w:p>
      <w:pPr>
        <w:jc w:val="both"/>
      </w:pPr>
      <w:r>
        <w:t>Căn cứ Luật phí và lệ phí ngày 25 tháng 11 năm 2015;</w:t>
      </w:r>
    </w:p>
    <w:p>
      <w:pPr>
        <w:jc w:val="both"/>
      </w:pPr>
      <w:r>
        <w:t>Căn cứ Luật khoáng sản ngày 17 tháng 11 năm 2010;</w:t>
      </w:r>
    </w:p>
    <w:p>
      <w:pPr>
        <w:jc w:val="both"/>
      </w:pPr>
      <w:r>
        <w:t>Căn cứ Luật ngân sách nhà nước ngày 25 tháng 6 năm 2015;</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và sử dụng phí thẩm định đánh giá trữ lượng khoáng sản và lệ phí cấp giấy phép hoạt động khoáng sản.</w:t>
      </w:r>
    </w:p>
    <w:p>
      <w:pPr>
        <w:jc w:val="both"/>
      </w:pPr>
      <w:r>
        <w:rPr>
          <w:b/>
        </w:rPr>
        <w:t>Điều 1. Phạm vi điều chỉnh</w:t>
      </w:r>
    </w:p>
    <w:p>
      <w:pPr>
        <w:jc w:val="both"/>
      </w:pPr>
      <w:r>
        <w:t>Thông tư này quy định về mức thu, chế độ thu, nộp, quản lý và sử dụng phí thẩm định đánh giá trữ lượng khoáng sản và lệ phí cấp giấy phép hoạt động khoáng sản.</w:t>
      </w:r>
    </w:p>
    <w:p>
      <w:pPr>
        <w:jc w:val="both"/>
      </w:pPr>
      <w:r>
        <w:rPr>
          <w:b/>
        </w:rPr>
        <w:t>Điều 2. Tổ chức thu và người nộp phí, lệ phí</w:t>
      </w:r>
    </w:p>
    <w:p>
      <w:pPr>
        <w:jc w:val="both"/>
      </w:pPr>
      <w:r>
        <w:t>1. Người nộp phí, lệ phí bao gồm:</w:t>
      </w:r>
    </w:p>
    <w:p>
      <w:pPr>
        <w:jc w:val="both"/>
      </w:pPr>
      <w:r>
        <w:t>a) Tổ chức, cá nhân khi được cơ quan nhà nước có thẩm quyền cấp giấy phép hoạt động khoáng sản phải nộp lệ phí cấp giấy phép hoạt động khoáng sản;</w:t>
      </w:r>
    </w:p>
    <w:p>
      <w:pPr>
        <w:jc w:val="both"/>
      </w:pPr>
      <w:r>
        <w:t>b) Tổ chức, cá nhân hoạt động khoáng sản khi trình cơ quan quản lý nhà nước có thẩm quyền thẩm định, phê duyệt trữ lượng báo cáo thăm dò khoáng sản theo quy định của pháp luật về khoáng sản phải nộp phí thẩm định đánh giá trữ lượng khoáng sản.</w:t>
      </w:r>
    </w:p>
    <w:p>
      <w:pPr>
        <w:jc w:val="both"/>
      </w:pPr>
      <w:r>
        <w:t>2. Tổ chức thu phí, lệ phí bao gồm: Tổng cục Địa chất và Khoáng sản Việt Nam, Văn phòng Hội đồng đánh giá trữ lượng khoáng sản quốc gia, Sở Tài nguyên và Môi trường các tỉnh, thành phố trực thuộc Trung ương.</w:t>
      </w:r>
    </w:p>
    <w:p>
      <w:pPr>
        <w:jc w:val="both"/>
      </w:pPr>
      <w:r>
        <w:rPr>
          <w:b/>
        </w:rPr>
        <w:t>Điều 3. Mức thu phí, lệ phí</w:t>
      </w:r>
    </w:p>
    <w:p>
      <w:pPr>
        <w:jc w:val="both"/>
      </w:pPr>
      <w:r>
        <w:t>Mức thu phí thẩm định đánh giá trữ lượng khoáng sản và lệ phí cấp giấy phép hoạt động khoáng sản quy định tại Biểu mức thu phí, lệ phí ban hành kèm theo Thông tư này.</w:t>
      </w:r>
    </w:p>
    <w:p>
      <w:pPr>
        <w:jc w:val="both"/>
      </w:pPr>
      <w:r>
        <w:rPr>
          <w:b/>
        </w:rPr>
        <w:t>Điều 4. Kê khai, nộp phí, lệ phí của tổ chức thu</w:t>
      </w:r>
    </w:p>
    <w:p>
      <w:pPr>
        <w:jc w:val="both"/>
      </w:pPr>
      <w:r>
        <w:t>1. Chậm nhất là ngày 05 hàng tháng, tổ chức thu phí phải gửi số tiền phí đã thu của tháng trước vào tài khoản phí chờ nộp ngân sách mở tại Kho bạc nhà nước.</w:t>
      </w:r>
    </w:p>
    <w:p>
      <w:pPr>
        <w:jc w:val="both"/>
      </w:pPr>
      <w:r>
        <w:t>2. Tổ chức thu phí, lệ phí thực hiện kê khai, nộp phí, lệ phí thu được theo tháng, quyết toán năm theo hướng dẫn tại khoản 3 Điều 19 và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 Tổ chức thu phí nộp số tiền phí theo tỷ lệ quy định tại Điều 5 Thông tư này và 100% tiền lệ phí thu được vào ngân sách nhà nước theo chương, mục, tiểu mục của Mục lục ngân sách nhà nước.</w:t>
      </w:r>
    </w:p>
    <w:p>
      <w:pPr>
        <w:jc w:val="both"/>
      </w:pPr>
      <w:r>
        <w:rPr>
          <w:b/>
        </w:rPr>
        <w:t>Điều 5. Quản lý và sử dụng phí</w:t>
      </w:r>
    </w:p>
    <w:p>
      <w:pPr>
        <w:jc w:val="both"/>
      </w:pPr>
      <w:r>
        <w:t>1. Tổ chức thu phí được để lại 90% số tiền phí thu được để trang trải chi phí cho hoạt động cung cấp dịch vụ, thu phí và nộp 10% vào ngân sách nhà nước; trừ trường hợp quy định tại khoản 2 Điều này. Tiền phí được để lại được quản lý và sử dụng theo quy định tại Điều 5 Nghị định số 120/2016/NĐ-CP ngày 23 tháng 8 năm 2016 của Chính phủ quy định chi tiết và hướng dẫn thi hành một số điều của Luật phí và lệ phí; trong đó, các khoản chi khác liên quan đến thực hiện công việc, dịch vụ và thu phí, bao gồm cả: Chi phí cho hoạt động kiểm tra thực địa khu vực thăm dò khoáng sản, kiểm tra, đánh giá và tổ chức họp thẩm định, họp Hội đồng thẩm định, đánh giá trữ lượng khoáng sản (bao gồm cả chi nhận xét, báo cáo thẩm định).</w:t>
      </w:r>
    </w:p>
    <w:p>
      <w:pPr>
        <w:jc w:val="both"/>
      </w:pPr>
      <w:r>
        <w:t>2. Trường hợp tổ chức thu phí là cơ quan nhà nước không thuộc diện được khoán chi phí hoạt động từ nguồn thu phí theo quy định tại khoản 1 Điều 4 Nghị định số 120/2016/NĐ-CP ngày 23 tháng 8 năm 2016 của Chính phủ quy định chi tiết và hướng dẫn thi hành một số điều của Luật phí và lệ phí thì phải nộp 100% tiền phí thu được vào ngân sách nhà nước. Nguồn chi phí trang trải cho hoạt động thẩm định, thu phí do ngân sách nhà nước bố trí trong dự toán của tổ chức thu theo chế độ, định mức chi ngân sách nhà nước theo quy định của pháp luật.</w:t>
      </w:r>
    </w:p>
    <w:p>
      <w:pPr>
        <w:jc w:val="both"/>
      </w:pPr>
      <w:r>
        <w:rPr>
          <w:b/>
        </w:rPr>
        <w:t>Điều 6. Tổ chức thực hiện và điều khoản thi hành</w:t>
      </w:r>
    </w:p>
    <w:p>
      <w:pPr>
        <w:jc w:val="both"/>
      </w:pPr>
      <w:r>
        <w:t>1. Thông tư này có hiệu lực thi hành kể từ ngày 01 tháng 01 năm 2017 và thay thế các văn bản sau:</w:t>
      </w:r>
    </w:p>
    <w:p>
      <w:pPr>
        <w:jc w:val="both"/>
      </w:pPr>
      <w:r>
        <w:t>a) Thông tư số 129/2011/TT-BTC ngày 15 tháng 9 năm 2011 của Bộ trưởng Bộ Tài chính quy định mức thu, chế độ thu, nộp, quản lý và sử dụng lệ phí cấp giấy phép hoạt động khoáng sản.</w:t>
      </w:r>
    </w:p>
    <w:p>
      <w:pPr>
        <w:jc w:val="both"/>
      </w:pPr>
      <w:r>
        <w:t>b) Quyết định số 27/2005/QĐ-BTC ngày 13 tháng 5 năm 2005 của Bộ trưởng Bộ Tài chính quy định mức thu, chế độ thu, nộp, quản lý và sử dụng phí thẩm định đánh giá trữ lượng khoáng sản.</w:t>
      </w:r>
    </w:p>
    <w:p>
      <w:pPr>
        <w:jc w:val="both"/>
      </w:pPr>
      <w:r>
        <w:t>2. Các nội dung khác liên quan đến thu, nộp, quản lý, sử dụng, chứng từ thu, công khai chế độ thu phí, lệ phí không đề cập tại Thông tư này được thực hiện theo quy định tại Luật phí và lệ phí; Nghị định số 120/2016/NĐ-CP ngày 23 tháng 8 năm 2016 của Chính phủ quy định chi tiết và hướng dẫn thi hành một số điều của Luật phí và lệ phí;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 Thông tư số 153/2012/TT-BTC ngày 17 tháng 9 năm 2012 của Bộ trưởng Bộ Tài chính hướng dẫn việc in, phát hành, quản lý và sử dụng các loại chứng từ thu tiền phí, lệ phí thuộc ngân sách nhà nước và các văn bản sửa đổi, bổ sung hoặc thay thế (nếu có).</w:t>
      </w:r>
    </w:p>
    <w:p>
      <w:pPr>
        <w:jc w:val="both"/>
      </w:pPr>
      <w:r>
        <w:t>3. Trong quá trình thực hiện, nếu có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legal.giangpham.asia/van-ban/118418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