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71/2016/TT-BTC</w:t>
      </w:r>
    </w:p>
    <w:p>
      <w:pPr>
        <w:jc w:val="both"/>
      </w:pPr>
      <w:r>
        <w:t>Hà Nội, ngày 18 tháng 5 năm 2016</w:t>
      </w:r>
    </w:p>
    <w:p>
      <w:pPr>
        <w:jc w:val="center"/>
      </w:pPr>
      <w:r>
        <w:rPr>
          <w:b/>
        </w:rPr>
        <w:t>THÔNG TƯ</w:t>
      </w:r>
    </w:p>
    <w:p>
      <w:pPr>
        <w:jc w:val="both"/>
      </w:pPr>
      <w:r>
        <w:t>Quy định chế độ tài chính đối với hoạt động của Cục Sở hữu trí tuệ áp dụng trong năm 2016</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57/2002/NĐ-CP ngày 03 tháng 6 năm 2002 của Chính phủ quy định chi tiết thi hành Pháp lệnh phí và lệ phí và Nghị định số 24/2006/NĐ-CP ngày 06 tháng 3 năm 2006 của Chính phủ sửa đổi, bổ sung một số điều của Nghị định số 57/2002/NĐ-CP ngày 03 tháng 6 năm 2002 của Chính phủ quy định chi tiết thi hành Pháp lệnh phí và lệ phí;</w:t>
      </w:r>
    </w:p>
    <w:p>
      <w:pPr>
        <w:jc w:val="both"/>
      </w:pPr>
      <w:r>
        <w:t>Căn cứ Nghị định số 43/2006/NĐ-CP ngày 25 tháng 4 năm 2006 của Chính phủ quy định quyền tự ch ủ, tự chịu trách nhiệm về thực hiện nhiệm vụ, tổ chức bộ máy, biên chế và tài chính đối với đơn vị sự nghiệp công lập;</w:t>
      </w:r>
    </w:p>
    <w:p>
      <w:pPr>
        <w:jc w:val="both"/>
      </w:pPr>
      <w:r>
        <w:t>Theo đề nghị của Vụ trưởng Vụ Tài chính Hành chính sự nghiệp,</w:t>
      </w:r>
    </w:p>
    <w:p>
      <w:pPr>
        <w:jc w:val="both"/>
      </w:pPr>
      <w:r>
        <w:t>Bộ trưởng Bộ Tài chính ban hành Thông tư quy định chế độ tài chính đối với hoạt động của Cục Sở hữu trí tuệ áp dụng trong năm 2016.</w:t>
      </w:r>
    </w:p>
    <w:p>
      <w:pPr>
        <w:jc w:val="both"/>
      </w:pPr>
      <w:r>
        <w:rPr>
          <w:b/>
        </w:rPr>
        <w:t>Điều 1. Trong năm 2016, Cục Sở hữu trí tuệ tiếp tục áp dụng chế độ tài chính theo quy định tại Thông tư số 158/2010/TT-BTC ngày 12/10/2010 của Bộ Tài chính hướng dẫn chế độ tài chính đối với Cục Sở hữu trí tuệ và các Điều, Khoản đã được sửa đổi, bổ sung tại Thông tư số 152/2013/TT-BTC ngày 29/10/2013 của Bộ Tài chính sửa đổi, bổ sung một số điều của Thông tư số 158/2010/TT-BTC ngày 12/10/2010 của Bộ Tài chính hướng dẫn chế độ tài chính đối với Cục Sở hữu trí tuệ.</w:t>
      </w:r>
    </w:p>
    <w:p>
      <w:pPr>
        <w:jc w:val="both"/>
      </w:pPr>
      <w:r>
        <w:t>Riêng Khoản 4, Điều 1 Thông tư số 152/2013/TT-BTC sửa lại như sau:</w:t>
      </w:r>
    </w:p>
    <w:p>
      <w:pPr>
        <w:jc w:val="both"/>
      </w:pPr>
      <w:r>
        <w:t>"4. Bổ sung điểm e vào Khoản 4, Điều 4 như sau:</w:t>
      </w:r>
    </w:p>
    <w:p>
      <w:pPr>
        <w:jc w:val="both"/>
      </w:pPr>
      <w:r>
        <w:t>e) Việc mua sắm, sửa chữa lớn tài sản, trang thiết bị phục vụ công tác từ nguồn phí, lệ phí để lại cho đầu tư thực hiện theo quy định của Luật Đầu tư công và các quy định hiện hành.".</w:t>
      </w:r>
    </w:p>
    <w:p>
      <w:pPr>
        <w:jc w:val="both"/>
      </w:pPr>
      <w:r>
        <w:rPr>
          <w:b/>
        </w:rPr>
        <w:t>Điều 2. Thông tư này có hiệu lực kể từ ngày 1 tháng 7 năm 2016 và áp dụng trong năm ngân sách 2016.</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legal.giangpham.asia/van-ban/112175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